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11"/>
        <w:tblW w:w="1318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6520"/>
      </w:tblGrid>
      <w:tr w:rsidR="00585379" w:rsidRPr="00585379" w14:paraId="237119E2" w14:textId="77777777" w:rsidTr="00B41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right w:val="single" w:sz="4" w:space="0" w:color="auto"/>
            </w:tcBorders>
          </w:tcPr>
          <w:p w14:paraId="6793F008" w14:textId="544DBD23" w:rsidR="002533CA" w:rsidRPr="00585379" w:rsidRDefault="002533CA" w:rsidP="001049C3">
            <w:pPr>
              <w:pStyle w:val="a8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316C5121" w14:textId="2BB47AFF" w:rsidR="002533CA" w:rsidRPr="00585379" w:rsidRDefault="002533CA" w:rsidP="005C30B8">
            <w:pPr>
              <w:pStyle w:val="a8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tbl>
      <w:tblPr>
        <w:tblStyle w:val="af6"/>
        <w:tblW w:w="13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588"/>
        <w:gridCol w:w="6588"/>
      </w:tblGrid>
      <w:tr w:rsidR="00EE5B3C" w:rsidRPr="00EE5B3C" w14:paraId="58231075" w14:textId="77777777" w:rsidTr="003F3728">
        <w:tc>
          <w:tcPr>
            <w:tcW w:w="6588" w:type="dxa"/>
          </w:tcPr>
          <w:p w14:paraId="44FAC419" w14:textId="77777777" w:rsidR="00322AC2" w:rsidRPr="00585379" w:rsidRDefault="00EE5B3C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5379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3 к Договору </w:t>
            </w:r>
          </w:p>
          <w:p w14:paraId="6341DA7B" w14:textId="3793C19A" w:rsidR="00EE5B3C" w:rsidRPr="003911FF" w:rsidRDefault="00EE5B3C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11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1049C3">
              <w:rPr>
                <w:rFonts w:ascii="Times New Roman" w:hAnsi="Times New Roman"/>
                <w:b/>
                <w:sz w:val="24"/>
              </w:rPr>
              <w:t>___________</w:t>
            </w:r>
            <w:proofErr w:type="gramStart"/>
            <w:r w:rsidR="001049C3">
              <w:rPr>
                <w:rFonts w:ascii="Times New Roman" w:hAnsi="Times New Roman"/>
                <w:b/>
                <w:sz w:val="24"/>
              </w:rPr>
              <w:t>_</w:t>
            </w:r>
            <w:r w:rsidR="00994F14" w:rsidRPr="003911FF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911FF">
              <w:rPr>
                <w:rFonts w:ascii="Times New Roman" w:hAnsi="Times New Roman"/>
                <w:b/>
                <w:sz w:val="24"/>
                <w:szCs w:val="24"/>
              </w:rPr>
              <w:t xml:space="preserve"> от</w:t>
            </w:r>
            <w:proofErr w:type="gramEnd"/>
            <w:r w:rsidRPr="003911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049C3">
              <w:rPr>
                <w:rFonts w:ascii="Times New Roman" w:hAnsi="Times New Roman"/>
                <w:b/>
                <w:sz w:val="24"/>
                <w:szCs w:val="24"/>
              </w:rPr>
              <w:t>__</w:t>
            </w:r>
            <w:r w:rsidR="00994F14" w:rsidRPr="003911F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049C3">
              <w:rPr>
                <w:rFonts w:ascii="Times New Roman" w:hAnsi="Times New Roman"/>
                <w:b/>
                <w:sz w:val="24"/>
                <w:szCs w:val="24"/>
              </w:rPr>
              <w:t>__</w:t>
            </w:r>
            <w:r w:rsidR="00994F14" w:rsidRPr="003911FF">
              <w:rPr>
                <w:rFonts w:ascii="Times New Roman" w:hAnsi="Times New Roman"/>
                <w:b/>
                <w:sz w:val="24"/>
                <w:szCs w:val="24"/>
              </w:rPr>
              <w:t>.2016</w:t>
            </w:r>
          </w:p>
          <w:p w14:paraId="706793FF" w14:textId="77777777" w:rsidR="00EE5B3C" w:rsidRPr="00585379" w:rsidRDefault="00EE5B3C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A58C61" w14:textId="77777777" w:rsidR="008F5849" w:rsidRPr="0054367A" w:rsidRDefault="008F5849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367A">
              <w:rPr>
                <w:rFonts w:ascii="Times New Roman" w:hAnsi="Times New Roman"/>
                <w:b/>
                <w:sz w:val="24"/>
                <w:szCs w:val="24"/>
              </w:rPr>
              <w:t>Форма отчета</w:t>
            </w:r>
          </w:p>
          <w:p w14:paraId="7A07510F" w14:textId="77777777" w:rsidR="008F5849" w:rsidRPr="0054367A" w:rsidRDefault="008F5849" w:rsidP="00B831ED">
            <w:pPr>
              <w:rPr>
                <w:lang w:val="ru-RU"/>
              </w:rPr>
            </w:pPr>
            <w:r w:rsidRPr="0054367A">
              <w:rPr>
                <w:lang w:val="ru-RU" w:eastAsia="ru-RU"/>
              </w:rPr>
              <w:t>(начало формы)</w:t>
            </w:r>
          </w:p>
          <w:p w14:paraId="05BD94E7" w14:textId="77777777" w:rsidR="008F5849" w:rsidRPr="00585379" w:rsidRDefault="008F5849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061D7C" w14:textId="77777777" w:rsidR="00EE5B3C" w:rsidRPr="0054367A" w:rsidRDefault="00EE5B3C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5379">
              <w:rPr>
                <w:rFonts w:ascii="Times New Roman" w:hAnsi="Times New Roman"/>
                <w:b/>
                <w:sz w:val="24"/>
                <w:szCs w:val="24"/>
              </w:rPr>
              <w:t xml:space="preserve">отчет № ___ </w:t>
            </w:r>
          </w:p>
          <w:p w14:paraId="66A60765" w14:textId="77777777" w:rsidR="00EE5B3C" w:rsidRPr="0054367A" w:rsidRDefault="00EE5B3C" w:rsidP="009A01B8">
            <w:pPr>
              <w:pStyle w:val="a8"/>
              <w:spacing w:before="0" w:after="0"/>
            </w:pPr>
            <w:r w:rsidRPr="0054367A">
              <w:rPr>
                <w:rFonts w:ascii="Times New Roman" w:hAnsi="Times New Roman"/>
                <w:b/>
                <w:sz w:val="24"/>
                <w:szCs w:val="24"/>
              </w:rPr>
              <w:t>за период с ________  по ____________</w:t>
            </w:r>
          </w:p>
        </w:tc>
        <w:tc>
          <w:tcPr>
            <w:tcW w:w="6588" w:type="dxa"/>
          </w:tcPr>
          <w:p w14:paraId="0A76965F" w14:textId="77777777" w:rsidR="00322AC2" w:rsidRPr="0054367A" w:rsidRDefault="00EE5B3C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43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exhibit 3 to agreement </w:t>
            </w:r>
          </w:p>
          <w:p w14:paraId="0273647A" w14:textId="5807BD72" w:rsidR="00EE5B3C" w:rsidRPr="003911FF" w:rsidRDefault="00EE5B3C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911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No. </w:t>
            </w:r>
            <w:r w:rsidR="001049C3" w:rsidRPr="00C71122">
              <w:rPr>
                <w:rFonts w:ascii="Times New Roman" w:hAnsi="Times New Roman"/>
                <w:b/>
                <w:sz w:val="24"/>
                <w:lang w:val="en-US"/>
              </w:rPr>
              <w:t>___________</w:t>
            </w:r>
            <w:r w:rsidR="00741DBE" w:rsidRPr="003911FF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="00741DBE" w:rsidRPr="003911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dated </w:t>
            </w:r>
            <w:r w:rsidR="001049C3" w:rsidRPr="00C7112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___</w:t>
            </w:r>
            <w:r w:rsidR="00741DBE" w:rsidRPr="003911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1049C3" w:rsidRPr="00C7112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__</w:t>
            </w:r>
            <w:r w:rsidR="00741DBE" w:rsidRPr="003911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.2016</w:t>
            </w:r>
          </w:p>
          <w:p w14:paraId="1FE24502" w14:textId="77777777" w:rsidR="00322AC2" w:rsidRPr="0054367A" w:rsidRDefault="00322AC2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467E2968" w14:textId="77777777" w:rsidR="008F5849" w:rsidRPr="0054367A" w:rsidRDefault="008F5849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43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Report Form</w:t>
            </w:r>
          </w:p>
          <w:p w14:paraId="710756CA" w14:textId="2DE3B92C" w:rsidR="008F5849" w:rsidRPr="00585379" w:rsidRDefault="00741DBE" w:rsidP="0054367A">
            <w:pPr>
              <w:pStyle w:val="a8"/>
              <w:spacing w:before="0" w:after="0"/>
              <w:jc w:val="lef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4367A">
              <w:rPr>
                <w:rFonts w:ascii="Times New Roman" w:eastAsiaTheme="minorEastAsia" w:hAnsi="Times New Roman"/>
                <w:bCs w:val="0"/>
                <w:caps w:val="0"/>
                <w:kern w:val="0"/>
                <w:sz w:val="24"/>
                <w:szCs w:val="24"/>
                <w:lang w:val="en-US"/>
              </w:rPr>
              <w:t>(start of the form)</w:t>
            </w:r>
          </w:p>
          <w:p w14:paraId="573C4149" w14:textId="77777777" w:rsidR="003F3728" w:rsidRDefault="003F3728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419985AF" w14:textId="46697863" w:rsidR="00EE5B3C" w:rsidRPr="0054367A" w:rsidRDefault="00EE5B3C" w:rsidP="004D6615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853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report</w:t>
            </w:r>
            <w:r w:rsidRPr="00543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no. ___</w:t>
            </w:r>
          </w:p>
          <w:p w14:paraId="39AA5F9E" w14:textId="77777777" w:rsidR="00EE5B3C" w:rsidRPr="0054367A" w:rsidRDefault="00EE5B3C" w:rsidP="009A01B8">
            <w:pPr>
              <w:pStyle w:val="a8"/>
              <w:spacing w:before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4367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for the period from ________  to ____________</w:t>
            </w:r>
          </w:p>
        </w:tc>
      </w:tr>
      <w:tr w:rsidR="00EE5B3C" w:rsidRPr="00EE5B3C" w14:paraId="4CE1179F" w14:textId="77777777" w:rsidTr="003F3728">
        <w:tc>
          <w:tcPr>
            <w:tcW w:w="6588" w:type="dxa"/>
          </w:tcPr>
          <w:p w14:paraId="543B2D19" w14:textId="77777777" w:rsidR="00EE5B3C" w:rsidRPr="009A01B8" w:rsidRDefault="00EE5B3C" w:rsidP="008D5AA9">
            <w:pPr>
              <w:pStyle w:val="a8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88" w:type="dxa"/>
          </w:tcPr>
          <w:p w14:paraId="7D3DF4B1" w14:textId="77777777" w:rsidR="00EE5B3C" w:rsidRPr="00EE5B3C" w:rsidRDefault="00EE5B3C" w:rsidP="008D5AA9">
            <w:pPr>
              <w:pStyle w:val="a8"/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E5B3C" w:rsidRPr="00EE5B3C" w14:paraId="03424F11" w14:textId="77777777" w:rsidTr="003F3728">
        <w:tc>
          <w:tcPr>
            <w:tcW w:w="6588" w:type="dxa"/>
          </w:tcPr>
          <w:p w14:paraId="72540933" w14:textId="77777777" w:rsidR="00EE5B3C" w:rsidRPr="009A01B8" w:rsidRDefault="00EE5B3C" w:rsidP="009A01B8">
            <w:pPr>
              <w:jc w:val="both"/>
              <w:rPr>
                <w:b/>
                <w:lang w:val="ru-RU"/>
              </w:rPr>
            </w:pPr>
            <w:r w:rsidRPr="009A01B8">
              <w:rPr>
                <w:rStyle w:val="a6"/>
                <w:highlight w:val="lightGray"/>
                <w:lang w:val="ru-RU"/>
              </w:rPr>
              <w:t>__ _______________ 201</w:t>
            </w:r>
            <w:r w:rsidRPr="00A20C7C">
              <w:rPr>
                <w:rStyle w:val="a6"/>
                <w:highlight w:val="lightGray"/>
                <w:lang w:val="ru-RU"/>
              </w:rPr>
              <w:t>_</w:t>
            </w:r>
            <w:r w:rsidRPr="00A20C7C">
              <w:rPr>
                <w:rStyle w:val="a6"/>
              </w:rPr>
              <w:t> </w:t>
            </w:r>
            <w:r w:rsidRPr="009A01B8">
              <w:rPr>
                <w:rStyle w:val="a6"/>
                <w:lang w:val="ru-RU"/>
              </w:rPr>
              <w:t>г.</w:t>
            </w:r>
          </w:p>
        </w:tc>
        <w:tc>
          <w:tcPr>
            <w:tcW w:w="6588" w:type="dxa"/>
          </w:tcPr>
          <w:p w14:paraId="1CF1CC96" w14:textId="77777777" w:rsidR="00EE5B3C" w:rsidRPr="009A01B8" w:rsidRDefault="00EE5B3C" w:rsidP="009A01B8">
            <w:pPr>
              <w:jc w:val="both"/>
              <w:rPr>
                <w:b/>
                <w:lang w:val="ru-RU"/>
              </w:rPr>
            </w:pPr>
            <w:r w:rsidRPr="00A20C7C">
              <w:rPr>
                <w:rStyle w:val="a6"/>
                <w:highlight w:val="lightGray"/>
              </w:rPr>
              <w:t xml:space="preserve">_______________ </w:t>
            </w:r>
            <w:r w:rsidR="00D24ABD" w:rsidRPr="00A20C7C">
              <w:rPr>
                <w:rStyle w:val="a6"/>
                <w:highlight w:val="lightGray"/>
              </w:rPr>
              <w:t xml:space="preserve">__ </w:t>
            </w:r>
            <w:r w:rsidR="00D24ABD">
              <w:rPr>
                <w:rStyle w:val="a6"/>
                <w:highlight w:val="lightGray"/>
              </w:rPr>
              <w:t xml:space="preserve">, </w:t>
            </w:r>
            <w:r w:rsidRPr="00A20C7C">
              <w:rPr>
                <w:rStyle w:val="a6"/>
                <w:highlight w:val="lightGray"/>
              </w:rPr>
              <w:t>201</w:t>
            </w:r>
            <w:r w:rsidRPr="00A20C7C">
              <w:rPr>
                <w:rStyle w:val="a6"/>
                <w:highlight w:val="lightGray"/>
                <w:lang w:val="ru-RU"/>
              </w:rPr>
              <w:t>_</w:t>
            </w:r>
          </w:p>
        </w:tc>
      </w:tr>
      <w:tr w:rsidR="00EE5B3C" w:rsidRPr="00EE5B3C" w14:paraId="27EFD23D" w14:textId="77777777" w:rsidTr="003F3728">
        <w:tc>
          <w:tcPr>
            <w:tcW w:w="6588" w:type="dxa"/>
          </w:tcPr>
          <w:p w14:paraId="21DFF7F9" w14:textId="77777777" w:rsidR="00EE5B3C" w:rsidRPr="009A01B8" w:rsidRDefault="00EE5B3C" w:rsidP="008D5AA9">
            <w:pPr>
              <w:pStyle w:val="a8"/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88" w:type="dxa"/>
          </w:tcPr>
          <w:p w14:paraId="2838D929" w14:textId="77777777" w:rsidR="00EE5B3C" w:rsidRPr="009A01B8" w:rsidRDefault="00EE5B3C" w:rsidP="008D5AA9">
            <w:pPr>
              <w:pStyle w:val="a8"/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5B3C" w:rsidRPr="00EE5B3C" w14:paraId="41629F7A" w14:textId="77777777" w:rsidTr="003F3728">
        <w:tc>
          <w:tcPr>
            <w:tcW w:w="6588" w:type="dxa"/>
          </w:tcPr>
          <w:p w14:paraId="7EB77DA6" w14:textId="3490244C" w:rsidR="001049C3" w:rsidRPr="00C71122" w:rsidRDefault="001049C3" w:rsidP="001049C3">
            <w:pPr>
              <w:jc w:val="both"/>
              <w:rPr>
                <w:lang w:val="ru-RU"/>
              </w:rPr>
            </w:pPr>
            <w:r w:rsidRPr="001049C3">
              <w:rPr>
                <w:b/>
                <w:lang w:val="ru-RU"/>
              </w:rPr>
              <w:t>Публичное акционерное общество «Башинформсвязь»,</w:t>
            </w:r>
            <w:r w:rsidRPr="00C71122">
              <w:rPr>
                <w:lang w:val="ru-RU"/>
              </w:rPr>
              <w:t xml:space="preserve"> юридическое лицо, зарегистрированное в соответствии с законодательством Российской Федерации за номером 1020202561686 по адресу: 450000, г. Уфа, ул. Ленина, д.32/1, в лице </w:t>
            </w:r>
            <w:r w:rsidRPr="00C71122">
              <w:rPr>
                <w:bCs/>
                <w:lang w:val="ru-RU"/>
              </w:rPr>
              <w:t>Генерального директора Долгоаршинных Марата Гайнулловича</w:t>
            </w:r>
            <w:r w:rsidRPr="00C71122">
              <w:rPr>
                <w:lang w:val="ru-RU"/>
              </w:rPr>
              <w:t>, действующе</w:t>
            </w:r>
            <w:r w:rsidR="00D84DE1">
              <w:rPr>
                <w:lang w:val="ru-RU"/>
              </w:rPr>
              <w:t>го</w:t>
            </w:r>
            <w:r w:rsidRPr="00C71122">
              <w:rPr>
                <w:lang w:val="ru-RU"/>
              </w:rPr>
              <w:t xml:space="preserve"> на основании Устава, именуемое далее по тексту «Общество», с одной стороны, и</w:t>
            </w:r>
          </w:p>
          <w:p w14:paraId="51629C0B" w14:textId="77777777" w:rsidR="001049C3" w:rsidRDefault="001049C3" w:rsidP="001049C3">
            <w:pPr>
              <w:jc w:val="both"/>
              <w:rPr>
                <w:b/>
                <w:lang w:val="ru-RU"/>
              </w:rPr>
            </w:pPr>
          </w:p>
          <w:p w14:paraId="483751AB" w14:textId="77777777" w:rsidR="00EE5B3C" w:rsidRPr="00A20C7C" w:rsidRDefault="00EE5B3C" w:rsidP="008D5AA9">
            <w:pPr>
              <w:jc w:val="both"/>
              <w:rPr>
                <w:lang w:val="ru-RU"/>
              </w:rPr>
            </w:pPr>
          </w:p>
          <w:p w14:paraId="0D44FA38" w14:textId="77777777" w:rsidR="00EE5B3C" w:rsidRPr="003B5358" w:rsidRDefault="00EE5B3C" w:rsidP="008D5AA9">
            <w:pPr>
              <w:jc w:val="both"/>
              <w:rPr>
                <w:lang w:val="ru-RU"/>
              </w:rPr>
            </w:pPr>
            <w:r w:rsidRPr="00A20C7C">
              <w:rPr>
                <w:b/>
                <w:lang w:val="ru-RU"/>
              </w:rPr>
              <w:t xml:space="preserve">Компания </w:t>
            </w:r>
            <w:proofErr w:type="spellStart"/>
            <w:r w:rsidRPr="00A20C7C">
              <w:rPr>
                <w:b/>
                <w:lang w:val="ru-RU"/>
              </w:rPr>
              <w:t>Варгейминг</w:t>
            </w:r>
            <w:proofErr w:type="spellEnd"/>
            <w:r w:rsidRPr="00A20C7C">
              <w:rPr>
                <w:b/>
                <w:lang w:val="ru-RU"/>
              </w:rPr>
              <w:t xml:space="preserve"> </w:t>
            </w:r>
            <w:proofErr w:type="spellStart"/>
            <w:r w:rsidRPr="00A20C7C">
              <w:rPr>
                <w:b/>
                <w:lang w:val="ru-RU"/>
              </w:rPr>
              <w:t>Груп</w:t>
            </w:r>
            <w:proofErr w:type="spellEnd"/>
            <w:r w:rsidRPr="00A20C7C">
              <w:rPr>
                <w:b/>
                <w:lang w:val="ru-RU"/>
              </w:rPr>
              <w:t xml:space="preserve"> Лимитед (</w:t>
            </w:r>
            <w:proofErr w:type="spellStart"/>
            <w:r w:rsidRPr="00A20C7C">
              <w:rPr>
                <w:b/>
              </w:rPr>
              <w:t>Wargaming</w:t>
            </w:r>
            <w:proofErr w:type="spellEnd"/>
            <w:r w:rsidRPr="00A20C7C">
              <w:rPr>
                <w:b/>
                <w:lang w:val="ru-RU"/>
              </w:rPr>
              <w:t xml:space="preserve"> </w:t>
            </w:r>
            <w:r w:rsidRPr="00A20C7C">
              <w:rPr>
                <w:b/>
              </w:rPr>
              <w:t>Group</w:t>
            </w:r>
            <w:r w:rsidRPr="00A20C7C">
              <w:rPr>
                <w:b/>
                <w:lang w:val="ru-RU"/>
              </w:rPr>
              <w:t xml:space="preserve"> </w:t>
            </w:r>
            <w:r w:rsidRPr="00A20C7C">
              <w:rPr>
                <w:b/>
              </w:rPr>
              <w:t>Limited</w:t>
            </w:r>
            <w:r w:rsidRPr="00A20C7C">
              <w:rPr>
                <w:b/>
                <w:lang w:val="ru-RU"/>
              </w:rPr>
              <w:t>)</w:t>
            </w:r>
            <w:r w:rsidRPr="00A20C7C">
              <w:rPr>
                <w:lang w:val="ru-RU"/>
              </w:rPr>
              <w:t xml:space="preserve">, юридическое лицо, зарегистрированное в соответствии с законодательством Республики Кипр за номером </w:t>
            </w:r>
            <w:r w:rsidRPr="00A20C7C">
              <w:t>HE</w:t>
            </w:r>
            <w:r w:rsidRPr="00A20C7C">
              <w:rPr>
                <w:lang w:val="ru-RU"/>
              </w:rPr>
              <w:t xml:space="preserve"> 290868 по адресу: 105 </w:t>
            </w:r>
            <w:proofErr w:type="spellStart"/>
            <w:r w:rsidRPr="00A20C7C">
              <w:rPr>
                <w:lang w:val="ru-RU"/>
              </w:rPr>
              <w:t>Агион</w:t>
            </w:r>
            <w:proofErr w:type="spellEnd"/>
            <w:r w:rsidRPr="00A20C7C">
              <w:rPr>
                <w:lang w:val="ru-RU"/>
              </w:rPr>
              <w:t xml:space="preserve"> </w:t>
            </w:r>
            <w:proofErr w:type="spellStart"/>
            <w:r w:rsidRPr="00A20C7C">
              <w:rPr>
                <w:lang w:val="ru-RU"/>
              </w:rPr>
              <w:t>Омологитон</w:t>
            </w:r>
            <w:proofErr w:type="spellEnd"/>
            <w:r w:rsidRPr="00A20C7C">
              <w:rPr>
                <w:lang w:val="ru-RU"/>
              </w:rPr>
              <w:t xml:space="preserve"> Авеню, Никосия, 1080, Кипр, в лице Управляющего директора </w:t>
            </w:r>
            <w:proofErr w:type="spellStart"/>
            <w:r w:rsidRPr="00A20C7C">
              <w:rPr>
                <w:lang w:val="ru-RU"/>
              </w:rPr>
              <w:t>Евангелоса</w:t>
            </w:r>
            <w:proofErr w:type="spellEnd"/>
            <w:r w:rsidRPr="00A20C7C">
              <w:rPr>
                <w:lang w:val="ru-RU"/>
              </w:rPr>
              <w:t xml:space="preserve"> </w:t>
            </w:r>
            <w:proofErr w:type="spellStart"/>
            <w:r w:rsidRPr="00A20C7C">
              <w:rPr>
                <w:lang w:val="ru-RU"/>
              </w:rPr>
              <w:t>Георгиоу</w:t>
            </w:r>
            <w:proofErr w:type="spellEnd"/>
            <w:r w:rsidRPr="00A20C7C">
              <w:rPr>
                <w:lang w:val="ru-RU"/>
              </w:rPr>
              <w:t xml:space="preserve"> (</w:t>
            </w:r>
            <w:proofErr w:type="spellStart"/>
            <w:r w:rsidRPr="00A20C7C">
              <w:t>Evangelos</w:t>
            </w:r>
            <w:proofErr w:type="spellEnd"/>
            <w:r w:rsidRPr="00A20C7C">
              <w:rPr>
                <w:lang w:val="ru-RU"/>
              </w:rPr>
              <w:t xml:space="preserve"> </w:t>
            </w:r>
            <w:r w:rsidRPr="00A20C7C">
              <w:t>Georgiou</w:t>
            </w:r>
            <w:r w:rsidRPr="00A20C7C">
              <w:rPr>
                <w:lang w:val="ru-RU"/>
              </w:rPr>
              <w:t xml:space="preserve">), действующего на </w:t>
            </w:r>
            <w:proofErr w:type="gramStart"/>
            <w:r w:rsidRPr="00A20C7C">
              <w:rPr>
                <w:lang w:val="ru-RU"/>
              </w:rPr>
              <w:t>основании  Устава</w:t>
            </w:r>
            <w:proofErr w:type="gramEnd"/>
            <w:r w:rsidRPr="00A20C7C">
              <w:rPr>
                <w:lang w:val="ru-RU"/>
              </w:rPr>
              <w:t xml:space="preserve">, именуемое далее по тексту </w:t>
            </w:r>
            <w:r w:rsidRPr="00A20C7C">
              <w:rPr>
                <w:b/>
                <w:lang w:val="ru-RU"/>
              </w:rPr>
              <w:t>«</w:t>
            </w:r>
            <w:r>
              <w:rPr>
                <w:b/>
              </w:rPr>
              <w:t>WARGAMING</w:t>
            </w:r>
            <w:r w:rsidRPr="00A20C7C">
              <w:rPr>
                <w:b/>
                <w:lang w:val="ru-RU"/>
              </w:rPr>
              <w:t xml:space="preserve">», </w:t>
            </w:r>
            <w:r w:rsidRPr="00A20C7C">
              <w:rPr>
                <w:lang w:val="ru-RU"/>
              </w:rPr>
              <w:t>с другой стороны,</w:t>
            </w:r>
          </w:p>
          <w:p w14:paraId="2A3FFBCE" w14:textId="77777777" w:rsidR="00EE5B3C" w:rsidRPr="00A20C7C" w:rsidRDefault="00EE5B3C" w:rsidP="008D5AA9">
            <w:pPr>
              <w:rPr>
                <w:lang w:val="ru-RU"/>
              </w:rPr>
            </w:pPr>
            <w:r w:rsidRPr="00A20C7C">
              <w:rPr>
                <w:lang w:val="ru-RU"/>
              </w:rPr>
              <w:lastRenderedPageBreak/>
              <w:t xml:space="preserve">совместно и </w:t>
            </w:r>
            <w:proofErr w:type="gramStart"/>
            <w:r w:rsidRPr="00A20C7C">
              <w:rPr>
                <w:lang w:val="ru-RU"/>
              </w:rPr>
              <w:t>раздельно именуемые в дальнейшем «Стороны»</w:t>
            </w:r>
            <w:proofErr w:type="gramEnd"/>
            <w:r w:rsidRPr="00A20C7C">
              <w:rPr>
                <w:lang w:val="ru-RU"/>
              </w:rPr>
              <w:t xml:space="preserve"> и «Сторона»</w:t>
            </w:r>
            <w:r>
              <w:rPr>
                <w:lang w:val="ru-RU"/>
              </w:rPr>
              <w:t>, составили следующий Отчет № ___ за период с ___________ по _________:</w:t>
            </w:r>
          </w:p>
          <w:p w14:paraId="73ABCFEB" w14:textId="77777777" w:rsidR="00EE5B3C" w:rsidRPr="009A01B8" w:rsidRDefault="00EE5B3C" w:rsidP="008D5AA9">
            <w:pPr>
              <w:pStyle w:val="a8"/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88" w:type="dxa"/>
          </w:tcPr>
          <w:p w14:paraId="5FF0629E" w14:textId="77777777" w:rsidR="001049C3" w:rsidRPr="00C71122" w:rsidRDefault="001049C3" w:rsidP="001049C3">
            <w:pPr>
              <w:jc w:val="both"/>
            </w:pPr>
            <w:r w:rsidRPr="001049C3">
              <w:rPr>
                <w:b/>
              </w:rPr>
              <w:lastRenderedPageBreak/>
              <w:t>Public Joint Stock Company BASHINFORMSVYAZ</w:t>
            </w:r>
            <w:r w:rsidRPr="00C71122">
              <w:t xml:space="preserve">, legal person incorporated under the laws of the Russian Federation under number 1020202561686 at 32/1, </w:t>
            </w:r>
            <w:proofErr w:type="spellStart"/>
            <w:r w:rsidRPr="00C71122">
              <w:t>Lenina</w:t>
            </w:r>
            <w:proofErr w:type="spellEnd"/>
            <w:r w:rsidRPr="00C71122">
              <w:t xml:space="preserve"> str., 450000,  Ufa, represented by Director General </w:t>
            </w:r>
            <w:proofErr w:type="spellStart"/>
            <w:r w:rsidRPr="00C71122">
              <w:t>Dolgoarshinnykh</w:t>
            </w:r>
            <w:proofErr w:type="spellEnd"/>
            <w:r w:rsidRPr="00C71122">
              <w:t xml:space="preserve"> Marat </w:t>
            </w:r>
            <w:proofErr w:type="spellStart"/>
            <w:r w:rsidRPr="00C71122">
              <w:t>Gainullovitch</w:t>
            </w:r>
            <w:proofErr w:type="spellEnd"/>
            <w:r w:rsidRPr="00C71122">
              <w:t xml:space="preserve"> </w:t>
            </w:r>
            <w:r w:rsidRPr="00C71122">
              <w:rPr>
                <w:bCs/>
              </w:rPr>
              <w:t xml:space="preserve">acting </w:t>
            </w:r>
            <w:r w:rsidRPr="00C71122">
              <w:t>on the basis of Charter, hereinafter referred to as the Company, on one part, and</w:t>
            </w:r>
          </w:p>
          <w:p w14:paraId="3FBA0D71" w14:textId="77777777" w:rsidR="00EE5B3C" w:rsidRDefault="00EE5B3C" w:rsidP="004D6615">
            <w:pPr>
              <w:jc w:val="both"/>
            </w:pPr>
          </w:p>
          <w:p w14:paraId="5FA27992" w14:textId="77777777" w:rsidR="00EE5B3C" w:rsidRDefault="00EE5B3C" w:rsidP="004D6615">
            <w:pPr>
              <w:jc w:val="both"/>
            </w:pPr>
          </w:p>
          <w:p w14:paraId="771EC7DA" w14:textId="77777777" w:rsidR="00991A65" w:rsidRPr="009A01B8" w:rsidRDefault="00991A65" w:rsidP="004D6615">
            <w:pPr>
              <w:jc w:val="both"/>
            </w:pPr>
          </w:p>
          <w:p w14:paraId="72E5F306" w14:textId="77777777" w:rsidR="00EE5B3C" w:rsidRPr="00EE5B3C" w:rsidRDefault="00EE5B3C" w:rsidP="004D6615">
            <w:pPr>
              <w:jc w:val="both"/>
            </w:pPr>
            <w:proofErr w:type="spellStart"/>
            <w:r w:rsidRPr="003C3A96">
              <w:rPr>
                <w:b/>
              </w:rPr>
              <w:t>Wargaming</w:t>
            </w:r>
            <w:proofErr w:type="spellEnd"/>
            <w:r w:rsidRPr="007F484E">
              <w:rPr>
                <w:b/>
              </w:rPr>
              <w:t xml:space="preserve"> Group Limited</w:t>
            </w:r>
            <w:r w:rsidRPr="003C3A96">
              <w:rPr>
                <w:b/>
              </w:rPr>
              <w:t xml:space="preserve"> Company</w:t>
            </w:r>
            <w:r w:rsidRPr="007F484E">
              <w:t xml:space="preserve">, </w:t>
            </w:r>
            <w:r w:rsidRPr="003C3A96">
              <w:t>legal person incorporated under the laws of the Republic of Cyprus under number</w:t>
            </w:r>
            <w:r w:rsidRPr="007F484E">
              <w:t xml:space="preserve"> HE 290868 </w:t>
            </w:r>
            <w:r w:rsidRPr="003C3A96">
              <w:t>at</w:t>
            </w:r>
            <w:r w:rsidRPr="007F484E">
              <w:t xml:space="preserve"> 105 </w:t>
            </w:r>
            <w:proofErr w:type="spellStart"/>
            <w:r w:rsidRPr="003C3A96">
              <w:t>Agion</w:t>
            </w:r>
            <w:proofErr w:type="spellEnd"/>
            <w:r w:rsidRPr="003C3A96">
              <w:t xml:space="preserve"> </w:t>
            </w:r>
            <w:proofErr w:type="spellStart"/>
            <w:r w:rsidRPr="003C3A96">
              <w:t>Omologiton</w:t>
            </w:r>
            <w:proofErr w:type="spellEnd"/>
            <w:r w:rsidRPr="003C3A96">
              <w:t xml:space="preserve"> Avenue, Nicosia</w:t>
            </w:r>
            <w:r w:rsidRPr="007F484E">
              <w:t xml:space="preserve">, 1080, </w:t>
            </w:r>
            <w:r w:rsidRPr="003C3A96">
              <w:t>Cyprus</w:t>
            </w:r>
            <w:r w:rsidRPr="007F484E">
              <w:t xml:space="preserve">, </w:t>
            </w:r>
            <w:r w:rsidRPr="003C3A96">
              <w:t>represented by Managing Director Evangelos</w:t>
            </w:r>
            <w:r w:rsidRPr="007F484E">
              <w:t xml:space="preserve"> Georgiou</w:t>
            </w:r>
            <w:r w:rsidRPr="003C3A96">
              <w:t xml:space="preserve"> acting under the Articles of </w:t>
            </w:r>
            <w:r w:rsidR="00D52790">
              <w:t>A</w:t>
            </w:r>
            <w:r w:rsidRPr="003C3A96">
              <w:t>ssociation</w:t>
            </w:r>
            <w:r w:rsidR="00D52790">
              <w:t>,</w:t>
            </w:r>
            <w:r w:rsidRPr="003C3A96">
              <w:t xml:space="preserve"> hereinafter referred to as </w:t>
            </w:r>
            <w:r w:rsidRPr="003C3A96">
              <w:rPr>
                <w:b/>
              </w:rPr>
              <w:t>WARGAMING</w:t>
            </w:r>
            <w:r w:rsidRPr="007F484E">
              <w:t>,</w:t>
            </w:r>
            <w:r w:rsidRPr="007F484E">
              <w:rPr>
                <w:b/>
              </w:rPr>
              <w:t xml:space="preserve"> </w:t>
            </w:r>
            <w:r w:rsidRPr="007F484E">
              <w:t>on the other part,</w:t>
            </w:r>
          </w:p>
          <w:p w14:paraId="7AA91EB1" w14:textId="77777777" w:rsidR="00EE5B3C" w:rsidRDefault="00EE5B3C" w:rsidP="004D6615"/>
          <w:p w14:paraId="450B73B2" w14:textId="77777777" w:rsidR="00EE5B3C" w:rsidRDefault="00EE5B3C" w:rsidP="004D6615"/>
          <w:p w14:paraId="63625631" w14:textId="77777777" w:rsidR="00EE5B3C" w:rsidRPr="009A01B8" w:rsidRDefault="00EE5B3C" w:rsidP="009A01B8">
            <w:pPr>
              <w:jc w:val="both"/>
            </w:pPr>
            <w:r w:rsidRPr="007F484E">
              <w:lastRenderedPageBreak/>
              <w:t>hereinafter jointly and individually referred to as the Parties and the Party, respectively, have</w:t>
            </w:r>
            <w:r w:rsidRPr="009A01B8">
              <w:t xml:space="preserve"> </w:t>
            </w:r>
            <w:r>
              <w:t>completed this</w:t>
            </w:r>
            <w:r w:rsidRPr="009A01B8">
              <w:t xml:space="preserve"> </w:t>
            </w:r>
            <w:r>
              <w:t>Report</w:t>
            </w:r>
            <w:r w:rsidRPr="009A01B8">
              <w:t xml:space="preserve"> </w:t>
            </w:r>
            <w:r>
              <w:t>No.</w:t>
            </w:r>
            <w:r w:rsidRPr="009A01B8">
              <w:t xml:space="preserve"> ___ </w:t>
            </w:r>
            <w:r>
              <w:t>for the period from</w:t>
            </w:r>
            <w:r w:rsidRPr="009A01B8">
              <w:t xml:space="preserve"> ___________ </w:t>
            </w:r>
            <w:r>
              <w:t>to</w:t>
            </w:r>
            <w:r w:rsidRPr="009A01B8">
              <w:t xml:space="preserve"> _________:</w:t>
            </w:r>
          </w:p>
          <w:p w14:paraId="4E919088" w14:textId="77777777" w:rsidR="00EE5B3C" w:rsidRPr="009A01B8" w:rsidRDefault="00EE5B3C" w:rsidP="008D5AA9">
            <w:pPr>
              <w:pStyle w:val="a8"/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F8CDEA3" w14:textId="77777777" w:rsidR="00360B0D" w:rsidRPr="009A01B8" w:rsidRDefault="00360B0D" w:rsidP="00B64F94"/>
    <w:tbl>
      <w:tblPr>
        <w:tblW w:w="14967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7"/>
        <w:gridCol w:w="2770"/>
        <w:gridCol w:w="3190"/>
        <w:gridCol w:w="3020"/>
        <w:gridCol w:w="2552"/>
        <w:gridCol w:w="2268"/>
      </w:tblGrid>
      <w:tr w:rsidR="002533CA" w:rsidRPr="008D5AA9" w14:paraId="36C91F71" w14:textId="77777777" w:rsidTr="002533CA">
        <w:trPr>
          <w:cantSplit/>
          <w:tblCellSpacing w:w="15" w:type="dxa"/>
          <w:jc w:val="center"/>
        </w:trPr>
        <w:tc>
          <w:tcPr>
            <w:tcW w:w="1122" w:type="dxa"/>
            <w:vAlign w:val="center"/>
            <w:hideMark/>
          </w:tcPr>
          <w:p w14:paraId="5A4612D1" w14:textId="77777777" w:rsidR="002533CA" w:rsidRPr="009A01B8" w:rsidRDefault="002533CA" w:rsidP="004A4BE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Отчетный период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</w:rPr>
              <w:t>/ Report Period</w:t>
            </w:r>
          </w:p>
        </w:tc>
        <w:tc>
          <w:tcPr>
            <w:tcW w:w="2740" w:type="dxa"/>
            <w:vAlign w:val="center"/>
            <w:hideMark/>
          </w:tcPr>
          <w:p w14:paraId="4D4CC2A7" w14:textId="77777777" w:rsidR="002533CA" w:rsidRPr="008D5AA9" w:rsidRDefault="002533CA" w:rsidP="005564BF">
            <w:pPr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Название Дополнительных возможностей Игр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ы</w:t>
            </w:r>
            <w:r w:rsidRPr="009A01B8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 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</w:rPr>
              <w:t>Name</w:t>
            </w:r>
            <w:r w:rsidRPr="009A01B8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</w:rPr>
              <w:t>of the Game Additional Features</w:t>
            </w:r>
          </w:p>
        </w:tc>
        <w:tc>
          <w:tcPr>
            <w:tcW w:w="3160" w:type="dxa"/>
          </w:tcPr>
          <w:p w14:paraId="14D45BA2" w14:textId="394D4EF2" w:rsidR="002533CA" w:rsidRPr="0054367A" w:rsidRDefault="002533CA">
            <w:pPr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Количество Абонентов, использовавших Дополнительные возможности Игры, предоставленных </w:t>
            </w:r>
            <w:r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WARGAMING</w:t>
            </w:r>
            <w:r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>,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 отчетном периоде/ 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Number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of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the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Subscribers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who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used</w:t>
            </w:r>
            <w:proofErr w:type="spellEnd"/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the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Game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Additional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Features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provided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by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WARGAMING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in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the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report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ing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period</w:t>
            </w:r>
          </w:p>
        </w:tc>
        <w:tc>
          <w:tcPr>
            <w:tcW w:w="2990" w:type="dxa"/>
            <w:vAlign w:val="center"/>
            <w:hideMark/>
          </w:tcPr>
          <w:p w14:paraId="31CC1CF6" w14:textId="65BCDD5A" w:rsidR="002533CA" w:rsidRPr="0054367A" w:rsidRDefault="002533CA" w:rsidP="00E16F6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Сумма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активных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дней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пользования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Абонентами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Дополнительных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возможностей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Игры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предоставленных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WARGAMING,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сутки</w:t>
            </w:r>
            <w:r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/ Amount of active days for use by the Subscribers of the Game Additional Features provided by WARGAMING, days</w:t>
            </w:r>
          </w:p>
        </w:tc>
        <w:tc>
          <w:tcPr>
            <w:tcW w:w="2522" w:type="dxa"/>
            <w:vAlign w:val="center"/>
            <w:hideMark/>
          </w:tcPr>
          <w:p w14:paraId="7E7FCB4D" w14:textId="06B1BAA5" w:rsidR="002533CA" w:rsidRPr="0054367A" w:rsidRDefault="00CA4445" w:rsidP="00CA444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Стоимость </w:t>
            </w:r>
            <w:r w:rsidR="002533CA"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>за каждую Дополнительную возможность Игры, предоставленную Абоненту</w:t>
            </w:r>
            <w:r w:rsidR="002533CA" w:rsidRPr="0054367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в</w:t>
            </w:r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сутки</w:t>
            </w:r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руб</w:t>
            </w:r>
            <w:proofErr w:type="spellEnd"/>
            <w:r w:rsidR="002533CA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./ Cost per each Additional Feature of the Game provided to the Subscriber per day, rub.</w:t>
            </w:r>
          </w:p>
        </w:tc>
        <w:tc>
          <w:tcPr>
            <w:tcW w:w="2223" w:type="dxa"/>
            <w:vAlign w:val="center"/>
            <w:hideMark/>
          </w:tcPr>
          <w:p w14:paraId="07A7432F" w14:textId="77777777" w:rsidR="002533CA" w:rsidRPr="009A01B8" w:rsidRDefault="002533CA" w:rsidP="00225FD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Стоимость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Услуг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WARGAMING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Отчетный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64F94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период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руб</w:t>
            </w:r>
            <w:r w:rsidRPr="008F5849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./ </w:t>
            </w:r>
            <w:r>
              <w:rPr>
                <w:rStyle w:val="a7"/>
                <w:rFonts w:ascii="Arial" w:eastAsia="Times New Roman" w:hAnsi="Arial" w:cs="Arial"/>
                <w:sz w:val="20"/>
                <w:szCs w:val="20"/>
              </w:rPr>
              <w:t>Cost of WARGAMING Services for the Report Period, rub.</w:t>
            </w:r>
          </w:p>
        </w:tc>
      </w:tr>
      <w:tr w:rsidR="002533CA" w14:paraId="0EE92754" w14:textId="77777777" w:rsidTr="00B831ED">
        <w:trPr>
          <w:tblHeader/>
          <w:tblCellSpacing w:w="15" w:type="dxa"/>
          <w:jc w:val="center"/>
        </w:trPr>
        <w:tc>
          <w:tcPr>
            <w:tcW w:w="1122" w:type="dxa"/>
            <w:vAlign w:val="center"/>
            <w:hideMark/>
          </w:tcPr>
          <w:p w14:paraId="5CC802D2" w14:textId="77777777" w:rsidR="002533CA" w:rsidRPr="009A01B8" w:rsidRDefault="002533CA" w:rsidP="00F872A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F79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Месяц</w:t>
            </w:r>
            <w:r w:rsidRPr="00B831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Год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/ Month, Year</w:t>
            </w:r>
          </w:p>
        </w:tc>
        <w:tc>
          <w:tcPr>
            <w:tcW w:w="2740" w:type="dxa"/>
            <w:vAlign w:val="center"/>
            <w:hideMark/>
          </w:tcPr>
          <w:p w14:paraId="00212B27" w14:textId="77777777" w:rsidR="002533CA" w:rsidRPr="009A01B8" w:rsidRDefault="002533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Название Дополнительной возможности</w:t>
            </w:r>
            <w:r w:rsidRPr="009A01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Additional</w:t>
            </w:r>
            <w:r w:rsidRPr="009A01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Feature</w:t>
            </w:r>
            <w:r w:rsidRPr="009A01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</w:t>
            </w:r>
            <w:r w:rsidRPr="009A01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60" w:type="dxa"/>
            <w:vAlign w:val="center"/>
          </w:tcPr>
          <w:p w14:paraId="13812A1F" w14:textId="77777777" w:rsidR="002533CA" w:rsidRPr="0054367A" w:rsidRDefault="002533CA" w:rsidP="002533C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Количество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Абонентов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 Number of the Subscribes</w:t>
            </w:r>
          </w:p>
        </w:tc>
        <w:tc>
          <w:tcPr>
            <w:tcW w:w="2990" w:type="dxa"/>
            <w:vAlign w:val="center"/>
            <w:hideMark/>
          </w:tcPr>
          <w:p w14:paraId="5D39AE85" w14:textId="77777777" w:rsidR="002533CA" w:rsidRPr="0054367A" w:rsidRDefault="002533CA" w:rsidP="00F872A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Количество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активных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дней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/ Number of active days </w:t>
            </w:r>
          </w:p>
        </w:tc>
        <w:tc>
          <w:tcPr>
            <w:tcW w:w="2522" w:type="dxa"/>
            <w:vAlign w:val="center"/>
            <w:hideMark/>
          </w:tcPr>
          <w:p w14:paraId="08E90290" w14:textId="5BB9F17E" w:rsidR="002533CA" w:rsidRPr="0054367A" w:rsidRDefault="002533C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Стоимость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</w:t>
            </w:r>
            <w:proofErr w:type="spellStart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слуг</w:t>
            </w:r>
            <w:proofErr w:type="spellEnd"/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</w:t>
            </w:r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WARGAMING</w:t>
            </w:r>
            <w:r w:rsidR="008F5849"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(</w:t>
            </w:r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из</w:t>
            </w:r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таблицы</w:t>
            </w:r>
            <w:proofErr w:type="spellEnd"/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№1 </w:t>
            </w:r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  <w:lang w:val="ru-RU"/>
              </w:rPr>
              <w:t>приложения</w:t>
            </w:r>
            <w:r w:rsidR="008F5849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 xml:space="preserve"> №2)</w:t>
            </w:r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 Cost of WARGAMING Services</w:t>
            </w:r>
            <w:r w:rsidR="00741DBE"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41DBE" w:rsidRPr="0054367A">
              <w:rPr>
                <w:rStyle w:val="a7"/>
                <w:rFonts w:ascii="Arial" w:eastAsia="Times New Roman" w:hAnsi="Arial" w:cs="Arial"/>
                <w:sz w:val="20"/>
                <w:szCs w:val="20"/>
              </w:rPr>
              <w:t>(from Table No. 1 of Exhibit No. 2)</w:t>
            </w:r>
            <w:r w:rsidRPr="005436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223" w:type="dxa"/>
            <w:vAlign w:val="center"/>
            <w:hideMark/>
          </w:tcPr>
          <w:p w14:paraId="6E13F69F" w14:textId="77777777" w:rsidR="002533CA" w:rsidRDefault="002533CA" w:rsidP="00F872A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/Total </w:t>
            </w:r>
          </w:p>
        </w:tc>
      </w:tr>
    </w:tbl>
    <w:p w14:paraId="219674D8" w14:textId="77777777" w:rsidR="00406622" w:rsidRPr="0054367A" w:rsidRDefault="00C6340B" w:rsidP="00B70609">
      <w:pPr>
        <w:divId w:val="836649942"/>
        <w:rPr>
          <w:rFonts w:eastAsia="Times New Roman"/>
        </w:rPr>
      </w:pPr>
      <w:r w:rsidRPr="0054367A">
        <w:rPr>
          <w:rFonts w:eastAsia="Times New Roman"/>
        </w:rPr>
        <w:t xml:space="preserve">         </w:t>
      </w:r>
    </w:p>
    <w:tbl>
      <w:tblPr>
        <w:tblStyle w:val="af6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7229"/>
      </w:tblGrid>
      <w:tr w:rsidR="0054367A" w:rsidRPr="0054367A" w14:paraId="07880B75" w14:textId="77777777" w:rsidTr="0054367A">
        <w:trPr>
          <w:divId w:val="836649942"/>
        </w:trPr>
        <w:tc>
          <w:tcPr>
            <w:tcW w:w="6771" w:type="dxa"/>
          </w:tcPr>
          <w:p w14:paraId="19F3082A" w14:textId="3CB148FB" w:rsidR="00741DBE" w:rsidRPr="0054367A" w:rsidRDefault="00741DBE" w:rsidP="00B70609">
            <w:pPr>
              <w:rPr>
                <w:rFonts w:eastAsia="Times New Roman"/>
              </w:rPr>
            </w:pPr>
            <w:r w:rsidRPr="0054367A">
              <w:rPr>
                <w:rFonts w:eastAsia="Times New Roman"/>
              </w:rPr>
              <w:t>(</w:t>
            </w:r>
            <w:proofErr w:type="spellStart"/>
            <w:r w:rsidRPr="0054367A">
              <w:rPr>
                <w:rFonts w:eastAsia="Times New Roman"/>
              </w:rPr>
              <w:t>конец</w:t>
            </w:r>
            <w:proofErr w:type="spellEnd"/>
            <w:r w:rsidRPr="0054367A">
              <w:rPr>
                <w:rFonts w:eastAsia="Times New Roman"/>
              </w:rPr>
              <w:t xml:space="preserve"> </w:t>
            </w:r>
            <w:proofErr w:type="spellStart"/>
            <w:r w:rsidRPr="0054367A">
              <w:rPr>
                <w:rFonts w:eastAsia="Times New Roman"/>
              </w:rPr>
              <w:t>формы</w:t>
            </w:r>
            <w:proofErr w:type="spellEnd"/>
            <w:r w:rsidRPr="0054367A">
              <w:rPr>
                <w:rFonts w:eastAsia="Times New Roman"/>
              </w:rPr>
              <w:t>)</w:t>
            </w:r>
          </w:p>
        </w:tc>
        <w:tc>
          <w:tcPr>
            <w:tcW w:w="7229" w:type="dxa"/>
          </w:tcPr>
          <w:p w14:paraId="1B8CE709" w14:textId="78498F5C" w:rsidR="00741DBE" w:rsidRPr="0054367A" w:rsidRDefault="00741DBE" w:rsidP="00B70609">
            <w:pPr>
              <w:rPr>
                <w:rFonts w:eastAsia="Times New Roman"/>
              </w:rPr>
            </w:pPr>
            <w:r w:rsidRPr="0054367A">
              <w:rPr>
                <w:rFonts w:eastAsia="Times New Roman"/>
              </w:rPr>
              <w:t>(end of the form)</w:t>
            </w:r>
          </w:p>
        </w:tc>
      </w:tr>
    </w:tbl>
    <w:p w14:paraId="2C4B1A86" w14:textId="77777777" w:rsidR="008F5849" w:rsidRPr="0054367A" w:rsidRDefault="008F5849" w:rsidP="00B70609">
      <w:pPr>
        <w:divId w:val="836649942"/>
        <w:rPr>
          <w:rFonts w:eastAsia="Times New Roman"/>
        </w:rPr>
      </w:pPr>
    </w:p>
    <w:tbl>
      <w:tblPr>
        <w:tblStyle w:val="afa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229"/>
      </w:tblGrid>
      <w:tr w:rsidR="002533CA" w:rsidRPr="00F15F23" w14:paraId="65684657" w14:textId="77777777" w:rsidTr="00C71122">
        <w:trPr>
          <w:divId w:val="836649942"/>
        </w:trPr>
        <w:tc>
          <w:tcPr>
            <w:tcW w:w="6771" w:type="dxa"/>
          </w:tcPr>
          <w:p w14:paraId="58455428" w14:textId="77777777" w:rsidR="002533CA" w:rsidRPr="00F15F23" w:rsidRDefault="002533CA" w:rsidP="00A864F6">
            <w:pPr>
              <w:pStyle w:val="1"/>
              <w:spacing w:before="0"/>
              <w:ind w:left="432" w:hanging="432"/>
              <w:jc w:val="center"/>
              <w:rPr>
                <w:szCs w:val="24"/>
              </w:rPr>
            </w:pPr>
            <w:proofErr w:type="spellStart"/>
            <w:r w:rsidRPr="0099699A">
              <w:rPr>
                <w:kern w:val="0"/>
                <w:sz w:val="24"/>
                <w:szCs w:val="24"/>
              </w:rPr>
              <w:t>Адреса</w:t>
            </w:r>
            <w:proofErr w:type="spellEnd"/>
            <w:r w:rsidRPr="0099699A">
              <w:rPr>
                <w:kern w:val="0"/>
                <w:sz w:val="24"/>
                <w:szCs w:val="24"/>
              </w:rPr>
              <w:t xml:space="preserve"> и </w:t>
            </w:r>
            <w:proofErr w:type="spellStart"/>
            <w:r w:rsidRPr="0099699A">
              <w:rPr>
                <w:kern w:val="0"/>
                <w:sz w:val="24"/>
                <w:szCs w:val="24"/>
              </w:rPr>
              <w:t>реквизиты</w:t>
            </w:r>
            <w:proofErr w:type="spellEnd"/>
            <w:r w:rsidRPr="0099699A">
              <w:rPr>
                <w:kern w:val="0"/>
                <w:sz w:val="24"/>
                <w:szCs w:val="24"/>
              </w:rPr>
              <w:t xml:space="preserve"> </w:t>
            </w:r>
            <w:proofErr w:type="spellStart"/>
            <w:r w:rsidRPr="0099699A">
              <w:rPr>
                <w:kern w:val="0"/>
                <w:sz w:val="24"/>
                <w:szCs w:val="24"/>
              </w:rPr>
              <w:t>сторон</w:t>
            </w:r>
            <w:proofErr w:type="spellEnd"/>
          </w:p>
        </w:tc>
        <w:tc>
          <w:tcPr>
            <w:tcW w:w="7229" w:type="dxa"/>
          </w:tcPr>
          <w:p w14:paraId="76BA5553" w14:textId="77777777" w:rsidR="002533CA" w:rsidRPr="00F15F23" w:rsidRDefault="002533CA" w:rsidP="00A864F6">
            <w:pPr>
              <w:jc w:val="center"/>
              <w:rPr>
                <w:b/>
              </w:rPr>
            </w:pPr>
            <w:r w:rsidRPr="00F15F23">
              <w:t>Addressed and Details of the Parties</w:t>
            </w:r>
          </w:p>
        </w:tc>
      </w:tr>
      <w:tr w:rsidR="002533CA" w:rsidRPr="00F15F23" w14:paraId="3DF4DCB9" w14:textId="77777777" w:rsidTr="00C71122">
        <w:trPr>
          <w:divId w:val="836649942"/>
        </w:trPr>
        <w:tc>
          <w:tcPr>
            <w:tcW w:w="6771" w:type="dxa"/>
          </w:tcPr>
          <w:p w14:paraId="6C5F54BD" w14:textId="77777777" w:rsidR="002533CA" w:rsidRPr="004C0203" w:rsidRDefault="002533CA" w:rsidP="00A864F6">
            <w:pPr>
              <w:pStyle w:val="1"/>
              <w:spacing w:before="0"/>
              <w:ind w:left="432" w:hanging="432"/>
              <w:rPr>
                <w:sz w:val="28"/>
                <w:szCs w:val="24"/>
              </w:rPr>
            </w:pPr>
          </w:p>
        </w:tc>
        <w:tc>
          <w:tcPr>
            <w:tcW w:w="7229" w:type="dxa"/>
          </w:tcPr>
          <w:p w14:paraId="2042CE66" w14:textId="77777777" w:rsidR="002533CA" w:rsidRPr="00F15F23" w:rsidRDefault="002533CA" w:rsidP="00A864F6">
            <w:pPr>
              <w:rPr>
                <w:b/>
              </w:rPr>
            </w:pPr>
          </w:p>
        </w:tc>
      </w:tr>
      <w:tr w:rsidR="002533CA" w:rsidRPr="0099699A" w14:paraId="771233E8" w14:textId="77777777" w:rsidTr="00C71122">
        <w:trPr>
          <w:divId w:val="836649942"/>
        </w:trPr>
        <w:tc>
          <w:tcPr>
            <w:tcW w:w="6771" w:type="dxa"/>
          </w:tcPr>
          <w:p w14:paraId="75C46B7D" w14:textId="77777777" w:rsidR="002533CA" w:rsidRPr="0099699A" w:rsidRDefault="002533CA" w:rsidP="00A864F6">
            <w:pPr>
              <w:pStyle w:val="1"/>
              <w:spacing w:before="0"/>
              <w:ind w:left="432" w:hanging="432"/>
              <w:rPr>
                <w:sz w:val="24"/>
                <w:szCs w:val="24"/>
              </w:rPr>
            </w:pPr>
            <w:r w:rsidRPr="0099699A">
              <w:rPr>
                <w:sz w:val="24"/>
                <w:szCs w:val="24"/>
              </w:rPr>
              <w:t>WARGAMING:</w:t>
            </w:r>
          </w:p>
        </w:tc>
        <w:tc>
          <w:tcPr>
            <w:tcW w:w="7229" w:type="dxa"/>
          </w:tcPr>
          <w:p w14:paraId="0B5C82CA" w14:textId="77777777" w:rsidR="002533CA" w:rsidRPr="0099699A" w:rsidRDefault="002533CA" w:rsidP="00A864F6">
            <w:pPr>
              <w:rPr>
                <w:b/>
              </w:rPr>
            </w:pPr>
            <w:r w:rsidRPr="0099699A">
              <w:rPr>
                <w:b/>
              </w:rPr>
              <w:t>WARGAMING:</w:t>
            </w:r>
          </w:p>
        </w:tc>
      </w:tr>
      <w:tr w:rsidR="002533CA" w:rsidRPr="0099699A" w14:paraId="0F4CAB22" w14:textId="77777777" w:rsidTr="00C71122">
        <w:trPr>
          <w:divId w:val="836649942"/>
        </w:trPr>
        <w:tc>
          <w:tcPr>
            <w:tcW w:w="6771" w:type="dxa"/>
          </w:tcPr>
          <w:p w14:paraId="105E31C9" w14:textId="77777777" w:rsidR="002533CA" w:rsidRPr="00A32ED2" w:rsidRDefault="002533CA" w:rsidP="00A864F6">
            <w:pPr>
              <w:pStyle w:val="af8"/>
              <w:tabs>
                <w:tab w:val="left" w:pos="-1800"/>
              </w:tabs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A32ED2">
              <w:rPr>
                <w:b/>
                <w:lang w:val="en-US"/>
              </w:rPr>
              <w:t>Wargaming</w:t>
            </w:r>
            <w:proofErr w:type="spellEnd"/>
            <w:r w:rsidRPr="00A32ED2">
              <w:rPr>
                <w:b/>
                <w:lang w:val="en-US"/>
              </w:rPr>
              <w:t xml:space="preserve"> Group Limited</w:t>
            </w:r>
          </w:p>
          <w:p w14:paraId="08A8B215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rPr>
                <w:b/>
                <w:lang w:val="en-US"/>
              </w:rPr>
            </w:pPr>
            <w:proofErr w:type="spellStart"/>
            <w:r w:rsidRPr="0099699A">
              <w:rPr>
                <w:lang w:val="en-US"/>
              </w:rPr>
              <w:t>Agion</w:t>
            </w:r>
            <w:proofErr w:type="spellEnd"/>
            <w:r w:rsidRPr="0099699A">
              <w:rPr>
                <w:lang w:val="en-US"/>
              </w:rPr>
              <w:t xml:space="preserve"> </w:t>
            </w:r>
            <w:proofErr w:type="spellStart"/>
            <w:r w:rsidRPr="0099699A">
              <w:rPr>
                <w:lang w:val="en-US"/>
              </w:rPr>
              <w:t>Omologiton</w:t>
            </w:r>
            <w:proofErr w:type="spellEnd"/>
            <w:r w:rsidRPr="0099699A">
              <w:rPr>
                <w:lang w:val="en-US"/>
              </w:rPr>
              <w:t xml:space="preserve"> Ave 105, Nicosia, 1080, Cyprus</w:t>
            </w:r>
          </w:p>
          <w:p w14:paraId="6EF21F78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rPr>
                <w:b/>
                <w:lang w:val="en-US"/>
              </w:rPr>
            </w:pPr>
            <w:r w:rsidRPr="0099699A">
              <w:rPr>
                <w:lang w:val="ru-RU"/>
              </w:rPr>
              <w:t>Расчетный</w:t>
            </w:r>
            <w:r w:rsidRPr="0099699A">
              <w:rPr>
                <w:lang w:val="en-US"/>
              </w:rPr>
              <w:t xml:space="preserve"> </w:t>
            </w:r>
            <w:r w:rsidRPr="0099699A">
              <w:rPr>
                <w:lang w:val="ru-RU"/>
              </w:rPr>
              <w:t>счет</w:t>
            </w:r>
            <w:r w:rsidRPr="0099699A">
              <w:rPr>
                <w:lang w:val="en-US"/>
              </w:rPr>
              <w:t>:</w:t>
            </w:r>
          </w:p>
          <w:p w14:paraId="52F6F1F4" w14:textId="391A0222" w:rsidR="002533CA" w:rsidRPr="00227417" w:rsidRDefault="007657ED" w:rsidP="00A864F6">
            <w:pPr>
              <w:pStyle w:val="af8"/>
              <w:tabs>
                <w:tab w:val="left" w:pos="-1800"/>
              </w:tabs>
              <w:ind w:firstLine="0"/>
              <w:rPr>
                <w:b/>
                <w:lang w:val="ru-RU"/>
              </w:rPr>
            </w:pPr>
            <w:r>
              <w:rPr>
                <w:lang w:val="ru-RU"/>
              </w:rPr>
              <w:t>__________________</w:t>
            </w:r>
          </w:p>
          <w:p w14:paraId="66ACF8C1" w14:textId="77777777" w:rsidR="002533CA" w:rsidRPr="0099699A" w:rsidRDefault="002533CA" w:rsidP="00A864F6">
            <w:pPr>
              <w:pStyle w:val="1"/>
              <w:spacing w:before="0"/>
              <w:ind w:left="432" w:hanging="432"/>
              <w:rPr>
                <w:b w:val="0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4CFE4A0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jc w:val="center"/>
              <w:rPr>
                <w:b/>
                <w:lang w:val="en-US"/>
              </w:rPr>
            </w:pPr>
            <w:proofErr w:type="spellStart"/>
            <w:r w:rsidRPr="0099699A">
              <w:rPr>
                <w:b/>
                <w:lang w:val="en-US"/>
              </w:rPr>
              <w:t>Wargaming</w:t>
            </w:r>
            <w:proofErr w:type="spellEnd"/>
            <w:r w:rsidRPr="0099699A">
              <w:rPr>
                <w:b/>
                <w:lang w:val="en-US"/>
              </w:rPr>
              <w:t xml:space="preserve"> Group Limited</w:t>
            </w:r>
          </w:p>
          <w:p w14:paraId="06827FCE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proofErr w:type="spellStart"/>
            <w:r w:rsidRPr="0099699A">
              <w:rPr>
                <w:lang w:val="en-US"/>
              </w:rPr>
              <w:t>Agion</w:t>
            </w:r>
            <w:proofErr w:type="spellEnd"/>
            <w:r w:rsidRPr="0099699A">
              <w:rPr>
                <w:lang w:val="en-US"/>
              </w:rPr>
              <w:t xml:space="preserve"> </w:t>
            </w:r>
            <w:proofErr w:type="spellStart"/>
            <w:r w:rsidRPr="0099699A">
              <w:rPr>
                <w:lang w:val="en-US"/>
              </w:rPr>
              <w:t>Omologiton</w:t>
            </w:r>
            <w:proofErr w:type="spellEnd"/>
            <w:r w:rsidRPr="0099699A">
              <w:rPr>
                <w:lang w:val="en-US"/>
              </w:rPr>
              <w:t xml:space="preserve"> Ave 105, Nicosia, 1080, Cyprus</w:t>
            </w:r>
          </w:p>
          <w:p w14:paraId="2947136A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r w:rsidRPr="0099699A">
              <w:rPr>
                <w:lang w:val="en-US"/>
              </w:rPr>
              <w:t>Current account:</w:t>
            </w:r>
          </w:p>
          <w:p w14:paraId="5AEECC94" w14:textId="1137504D" w:rsidR="002533CA" w:rsidRPr="00227417" w:rsidRDefault="007657ED" w:rsidP="00A864F6">
            <w:pPr>
              <w:pStyle w:val="af8"/>
              <w:tabs>
                <w:tab w:val="left" w:pos="-1800"/>
              </w:tabs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____________________</w:t>
            </w:r>
          </w:p>
          <w:p w14:paraId="162B1EE3" w14:textId="77777777" w:rsidR="002533CA" w:rsidRPr="0099699A" w:rsidRDefault="002533CA" w:rsidP="00A864F6">
            <w:pPr>
              <w:rPr>
                <w:b/>
              </w:rPr>
            </w:pPr>
          </w:p>
        </w:tc>
      </w:tr>
      <w:tr w:rsidR="002533CA" w:rsidRPr="0099699A" w14:paraId="5D15B434" w14:textId="77777777" w:rsidTr="00C71122">
        <w:trPr>
          <w:divId w:val="836649942"/>
        </w:trPr>
        <w:tc>
          <w:tcPr>
            <w:tcW w:w="6771" w:type="dxa"/>
          </w:tcPr>
          <w:p w14:paraId="0B4DE177" w14:textId="77777777" w:rsidR="002533CA" w:rsidRPr="0099699A" w:rsidRDefault="002533CA" w:rsidP="00A864F6">
            <w:pPr>
              <w:rPr>
                <w:b/>
                <w:bCs/>
                <w:iCs/>
              </w:rPr>
            </w:pPr>
            <w:proofErr w:type="spellStart"/>
            <w:r w:rsidRPr="0099699A">
              <w:rPr>
                <w:iCs/>
              </w:rPr>
              <w:lastRenderedPageBreak/>
              <w:t>Управляющий</w:t>
            </w:r>
            <w:proofErr w:type="spellEnd"/>
            <w:r w:rsidRPr="0099699A">
              <w:rPr>
                <w:iCs/>
              </w:rPr>
              <w:t xml:space="preserve"> </w:t>
            </w:r>
            <w:proofErr w:type="spellStart"/>
            <w:r w:rsidRPr="0099699A">
              <w:rPr>
                <w:iCs/>
              </w:rPr>
              <w:t>директор</w:t>
            </w:r>
            <w:proofErr w:type="spellEnd"/>
          </w:p>
          <w:p w14:paraId="45CF48DA" w14:textId="77777777" w:rsidR="002533CA" w:rsidRPr="0099699A" w:rsidRDefault="002533CA" w:rsidP="00A864F6">
            <w:pPr>
              <w:pStyle w:val="af7"/>
              <w:ind w:left="360"/>
              <w:rPr>
                <w:b/>
                <w:bCs/>
                <w:iCs/>
              </w:rPr>
            </w:pPr>
          </w:p>
          <w:p w14:paraId="3C2ABCFF" w14:textId="77777777" w:rsidR="002533CA" w:rsidRPr="0099699A" w:rsidRDefault="002533CA" w:rsidP="00A864F6">
            <w:pPr>
              <w:pStyle w:val="af7"/>
              <w:ind w:left="360"/>
              <w:rPr>
                <w:b/>
                <w:bCs/>
                <w:iCs/>
              </w:rPr>
            </w:pPr>
          </w:p>
          <w:p w14:paraId="4EA14865" w14:textId="77777777" w:rsidR="002533CA" w:rsidRPr="0099699A" w:rsidRDefault="002533CA" w:rsidP="00A864F6">
            <w:pPr>
              <w:pStyle w:val="af7"/>
              <w:ind w:left="360"/>
              <w:rPr>
                <w:b/>
                <w:bCs/>
                <w:iCs/>
              </w:rPr>
            </w:pPr>
            <w:r w:rsidRPr="0099699A">
              <w:rPr>
                <w:iCs/>
              </w:rPr>
              <w:t>______________________________</w:t>
            </w:r>
          </w:p>
          <w:p w14:paraId="1C6328A7" w14:textId="77777777" w:rsidR="002533CA" w:rsidRPr="0099699A" w:rsidRDefault="002533CA" w:rsidP="00A864F6">
            <w:pPr>
              <w:pStyle w:val="af7"/>
              <w:ind w:left="360"/>
              <w:rPr>
                <w:b/>
                <w:bCs/>
                <w:iCs/>
              </w:rPr>
            </w:pPr>
          </w:p>
          <w:p w14:paraId="231B5FF8" w14:textId="77777777" w:rsidR="002533CA" w:rsidRPr="0099699A" w:rsidRDefault="002533CA" w:rsidP="00A864F6">
            <w:pPr>
              <w:pStyle w:val="af8"/>
              <w:tabs>
                <w:tab w:val="left" w:pos="-1800"/>
              </w:tabs>
              <w:ind w:firstLine="0"/>
              <w:jc w:val="center"/>
              <w:rPr>
                <w:b/>
                <w:lang w:val="ru-RU"/>
              </w:rPr>
            </w:pPr>
            <w:proofErr w:type="spellStart"/>
            <w:r w:rsidRPr="0099699A">
              <w:rPr>
                <w:iCs/>
              </w:rPr>
              <w:t>Евангелос</w:t>
            </w:r>
            <w:proofErr w:type="spellEnd"/>
            <w:r w:rsidRPr="0099699A">
              <w:rPr>
                <w:iCs/>
              </w:rPr>
              <w:t xml:space="preserve"> </w:t>
            </w:r>
            <w:proofErr w:type="spellStart"/>
            <w:r w:rsidRPr="0099699A">
              <w:rPr>
                <w:iCs/>
              </w:rPr>
              <w:t>Георгиоу</w:t>
            </w:r>
            <w:proofErr w:type="spellEnd"/>
          </w:p>
        </w:tc>
        <w:tc>
          <w:tcPr>
            <w:tcW w:w="7229" w:type="dxa"/>
          </w:tcPr>
          <w:p w14:paraId="6C3D63A4" w14:textId="77777777" w:rsidR="002533CA" w:rsidRPr="0099699A" w:rsidRDefault="002533CA" w:rsidP="00A864F6">
            <w:pPr>
              <w:rPr>
                <w:bCs/>
                <w:iCs/>
              </w:rPr>
            </w:pPr>
            <w:r w:rsidRPr="0099699A">
              <w:rPr>
                <w:bCs/>
                <w:iCs/>
              </w:rPr>
              <w:t>Managing Director</w:t>
            </w:r>
          </w:p>
          <w:p w14:paraId="0A246D6A" w14:textId="77777777" w:rsidR="002533CA" w:rsidRPr="0099699A" w:rsidRDefault="002533CA" w:rsidP="00A864F6">
            <w:pPr>
              <w:pStyle w:val="af7"/>
              <w:ind w:left="360"/>
              <w:rPr>
                <w:bCs/>
                <w:iCs/>
              </w:rPr>
            </w:pPr>
          </w:p>
          <w:p w14:paraId="32861F1A" w14:textId="77777777" w:rsidR="002533CA" w:rsidRPr="0099699A" w:rsidRDefault="002533CA" w:rsidP="00A864F6">
            <w:pPr>
              <w:pStyle w:val="af7"/>
              <w:ind w:left="360"/>
              <w:rPr>
                <w:bCs/>
                <w:iCs/>
              </w:rPr>
            </w:pPr>
          </w:p>
          <w:p w14:paraId="5E63E6A2" w14:textId="77777777" w:rsidR="002533CA" w:rsidRPr="0099699A" w:rsidRDefault="002533CA" w:rsidP="00A864F6">
            <w:pPr>
              <w:pStyle w:val="af7"/>
              <w:ind w:left="360"/>
              <w:rPr>
                <w:bCs/>
                <w:iCs/>
              </w:rPr>
            </w:pPr>
            <w:r w:rsidRPr="0099699A">
              <w:rPr>
                <w:bCs/>
                <w:iCs/>
              </w:rPr>
              <w:t>______________________________</w:t>
            </w:r>
          </w:p>
          <w:p w14:paraId="3993CBEA" w14:textId="77777777" w:rsidR="002533CA" w:rsidRPr="0099699A" w:rsidRDefault="002533CA" w:rsidP="00A864F6">
            <w:pPr>
              <w:pStyle w:val="af7"/>
              <w:ind w:left="360"/>
              <w:rPr>
                <w:bCs/>
                <w:iCs/>
              </w:rPr>
            </w:pPr>
          </w:p>
          <w:p w14:paraId="76029B88" w14:textId="77777777" w:rsidR="002533CA" w:rsidRPr="0099699A" w:rsidRDefault="002533CA" w:rsidP="00A864F6">
            <w:pPr>
              <w:jc w:val="center"/>
              <w:rPr>
                <w:b/>
              </w:rPr>
            </w:pPr>
            <w:r w:rsidRPr="0099699A">
              <w:rPr>
                <w:bCs/>
                <w:iCs/>
              </w:rPr>
              <w:t>Evangelos Georgiou</w:t>
            </w:r>
          </w:p>
        </w:tc>
      </w:tr>
      <w:tr w:rsidR="002533CA" w:rsidRPr="0099699A" w14:paraId="3E0CBBB1" w14:textId="77777777" w:rsidTr="00C71122">
        <w:trPr>
          <w:divId w:val="836649942"/>
        </w:trPr>
        <w:tc>
          <w:tcPr>
            <w:tcW w:w="6771" w:type="dxa"/>
          </w:tcPr>
          <w:p w14:paraId="24AF1C37" w14:textId="77777777" w:rsidR="002533CA" w:rsidRPr="0099699A" w:rsidRDefault="002533CA" w:rsidP="00A864F6">
            <w:pPr>
              <w:rPr>
                <w:bCs/>
                <w:iCs/>
              </w:rPr>
            </w:pPr>
          </w:p>
          <w:p w14:paraId="1C0CF40D" w14:textId="77777777" w:rsidR="002533CA" w:rsidRPr="0099699A" w:rsidRDefault="002533CA" w:rsidP="00A864F6">
            <w:pPr>
              <w:rPr>
                <w:bCs/>
                <w:iCs/>
              </w:rPr>
            </w:pPr>
          </w:p>
        </w:tc>
        <w:tc>
          <w:tcPr>
            <w:tcW w:w="7229" w:type="dxa"/>
          </w:tcPr>
          <w:p w14:paraId="37FB482D" w14:textId="77777777" w:rsidR="002533CA" w:rsidRPr="0099699A" w:rsidRDefault="002533CA" w:rsidP="00A864F6">
            <w:pPr>
              <w:rPr>
                <w:bCs/>
                <w:iCs/>
              </w:rPr>
            </w:pPr>
          </w:p>
        </w:tc>
      </w:tr>
      <w:tr w:rsidR="007C5DC2" w:rsidRPr="0099699A" w14:paraId="643FB05F" w14:textId="77777777" w:rsidTr="00C71122">
        <w:trPr>
          <w:divId w:val="836649942"/>
        </w:trPr>
        <w:tc>
          <w:tcPr>
            <w:tcW w:w="6771" w:type="dxa"/>
          </w:tcPr>
          <w:p w14:paraId="09894ADF" w14:textId="307BD0F0" w:rsidR="007C5DC2" w:rsidRPr="00A32ED2" w:rsidRDefault="007C5DC2" w:rsidP="007C5DC2">
            <w:pPr>
              <w:rPr>
                <w:b/>
                <w:bCs/>
                <w:iCs/>
              </w:rPr>
            </w:pPr>
            <w:proofErr w:type="spellStart"/>
            <w:r w:rsidRPr="00F15F23">
              <w:rPr>
                <w:b/>
              </w:rPr>
              <w:t>Общество</w:t>
            </w:r>
            <w:proofErr w:type="spellEnd"/>
            <w:r w:rsidRPr="00F15F23">
              <w:rPr>
                <w:b/>
              </w:rPr>
              <w:t>:</w:t>
            </w:r>
          </w:p>
        </w:tc>
        <w:tc>
          <w:tcPr>
            <w:tcW w:w="7229" w:type="dxa"/>
          </w:tcPr>
          <w:p w14:paraId="730A111E" w14:textId="190B66E0" w:rsidR="007C5DC2" w:rsidRPr="0099699A" w:rsidRDefault="007C5DC2" w:rsidP="007C5DC2">
            <w:pPr>
              <w:rPr>
                <w:bCs/>
                <w:iCs/>
              </w:rPr>
            </w:pPr>
            <w:r w:rsidRPr="00F15F23">
              <w:rPr>
                <w:b/>
              </w:rPr>
              <w:t>The Company:</w:t>
            </w:r>
          </w:p>
        </w:tc>
      </w:tr>
      <w:tr w:rsidR="007C5DC2" w:rsidRPr="0099699A" w14:paraId="0D2C2494" w14:textId="77777777" w:rsidTr="00C71122">
        <w:trPr>
          <w:divId w:val="836649942"/>
        </w:trPr>
        <w:tc>
          <w:tcPr>
            <w:tcW w:w="6771" w:type="dxa"/>
          </w:tcPr>
          <w:p w14:paraId="01EB8DD6" w14:textId="77777777" w:rsidR="007C5DC2" w:rsidRPr="00C71122" w:rsidRDefault="007C5DC2" w:rsidP="007C5DC2">
            <w:pPr>
              <w:jc w:val="center"/>
              <w:rPr>
                <w:b/>
                <w:lang w:val="ru-RU"/>
              </w:rPr>
            </w:pPr>
            <w:r w:rsidRPr="00C71122">
              <w:rPr>
                <w:b/>
                <w:lang w:val="ru-RU"/>
              </w:rPr>
              <w:t xml:space="preserve">ПАО «Башинформсвязь» </w:t>
            </w:r>
          </w:p>
          <w:p w14:paraId="44AD0124" w14:textId="77777777" w:rsidR="007C5DC2" w:rsidRPr="002C228C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ru-RU"/>
              </w:rPr>
            </w:pPr>
            <w:r w:rsidRPr="002C228C">
              <w:rPr>
                <w:lang w:val="ru-RU"/>
              </w:rPr>
              <w:t xml:space="preserve">Юридический адрес: </w:t>
            </w:r>
            <w:r>
              <w:t xml:space="preserve">450000, </w:t>
            </w:r>
            <w:r w:rsidRPr="00E3667A">
              <w:t>г.</w:t>
            </w:r>
            <w:r>
              <w:t xml:space="preserve"> Уфа</w:t>
            </w:r>
            <w:r w:rsidRPr="00E3667A">
              <w:t xml:space="preserve">, ул. </w:t>
            </w:r>
            <w:r>
              <w:t>Ленина</w:t>
            </w:r>
            <w:r w:rsidRPr="00E3667A">
              <w:t xml:space="preserve">, </w:t>
            </w:r>
            <w:r>
              <w:t>д.32/1</w:t>
            </w:r>
          </w:p>
          <w:p w14:paraId="3C1196FA" w14:textId="77777777" w:rsidR="007C5DC2" w:rsidRPr="002C228C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ru-RU"/>
              </w:rPr>
            </w:pPr>
            <w:r w:rsidRPr="002C228C">
              <w:rPr>
                <w:lang w:val="ru-RU"/>
              </w:rPr>
              <w:t xml:space="preserve">Расчетный счет: </w:t>
            </w:r>
            <w:r w:rsidRPr="00547FF1">
              <w:rPr>
                <w:lang w:val="ru-RU"/>
              </w:rPr>
              <w:t>40702810900000005674</w:t>
            </w:r>
          </w:p>
          <w:p w14:paraId="011BBAB3" w14:textId="400172D8" w:rsidR="007C5DC2" w:rsidRPr="0099699A" w:rsidRDefault="007C5DC2" w:rsidP="007C5DC2">
            <w:pPr>
              <w:pStyle w:val="af8"/>
              <w:tabs>
                <w:tab w:val="left" w:pos="-1800"/>
              </w:tabs>
              <w:ind w:firstLine="0"/>
            </w:pPr>
            <w:r w:rsidRPr="00547FF1">
              <w:rPr>
                <w:lang w:val="ru-RU"/>
              </w:rPr>
              <w:t>в ОАО АБ «Россия», г. Санкт-Петербург</w:t>
            </w:r>
            <w:r w:rsidRPr="002C228C">
              <w:rPr>
                <w:lang w:val="ru-RU"/>
              </w:rPr>
              <w:t xml:space="preserve"> Адрес банка: Россия, </w:t>
            </w:r>
            <w:r w:rsidRPr="00384A33">
              <w:rPr>
                <w:lang w:val="ru-RU"/>
              </w:rPr>
              <w:t>191124, Санкт-Петербург, пл. Растрелли, д.2, лит. А.</w:t>
            </w:r>
            <w:r w:rsidRPr="00384A33">
              <w:rPr>
                <w:b/>
                <w:lang w:val="ru-RU"/>
              </w:rPr>
              <w:t xml:space="preserve"> </w:t>
            </w:r>
          </w:p>
        </w:tc>
        <w:tc>
          <w:tcPr>
            <w:tcW w:w="7229" w:type="dxa"/>
          </w:tcPr>
          <w:p w14:paraId="20BCD03E" w14:textId="77777777" w:rsidR="007C5DC2" w:rsidRPr="00F15F23" w:rsidRDefault="007C5DC2" w:rsidP="007C5DC2">
            <w:pPr>
              <w:jc w:val="center"/>
              <w:rPr>
                <w:b/>
              </w:rPr>
            </w:pPr>
            <w:r>
              <w:rPr>
                <w:b/>
              </w:rPr>
              <w:t xml:space="preserve">PJSC </w:t>
            </w:r>
            <w:proofErr w:type="spellStart"/>
            <w:r>
              <w:rPr>
                <w:b/>
              </w:rPr>
              <w:t>Bashinformsvyaz</w:t>
            </w:r>
            <w:proofErr w:type="spellEnd"/>
            <w:r w:rsidRPr="00F15F23">
              <w:rPr>
                <w:b/>
              </w:rPr>
              <w:t xml:space="preserve"> </w:t>
            </w:r>
          </w:p>
          <w:p w14:paraId="068D8E87" w14:textId="77777777" w:rsidR="007C5DC2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Legal address: </w:t>
            </w:r>
            <w:r w:rsidRPr="00484829">
              <w:rPr>
                <w:lang w:val="en-US"/>
              </w:rPr>
              <w:t xml:space="preserve">32/1, </w:t>
            </w:r>
            <w:proofErr w:type="spellStart"/>
            <w:r w:rsidRPr="00484829">
              <w:rPr>
                <w:lang w:val="en-US"/>
              </w:rPr>
              <w:t>Lenina</w:t>
            </w:r>
            <w:proofErr w:type="spellEnd"/>
            <w:r w:rsidRPr="00484829">
              <w:rPr>
                <w:lang w:val="en-US"/>
              </w:rPr>
              <w:t xml:space="preserve"> str., 450000,  Ufa</w:t>
            </w:r>
          </w:p>
          <w:p w14:paraId="7FA186C3" w14:textId="77777777" w:rsidR="007C5DC2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</w:p>
          <w:p w14:paraId="72BBF01B" w14:textId="77777777" w:rsidR="007C5DC2" w:rsidRPr="00547FF1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Current account: </w:t>
            </w:r>
            <w:r w:rsidRPr="00547FF1">
              <w:rPr>
                <w:lang w:val="en-US"/>
              </w:rPr>
              <w:t>40702810900000005674</w:t>
            </w:r>
          </w:p>
          <w:p w14:paraId="2EF73305" w14:textId="77777777" w:rsidR="007C5DC2" w:rsidRPr="009C6D42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Bank:  JSC </w:t>
            </w:r>
            <w:proofErr w:type="spellStart"/>
            <w:r>
              <w:rPr>
                <w:lang w:val="en-US"/>
              </w:rPr>
              <w:t>Rossia</w:t>
            </w:r>
            <w:proofErr w:type="spellEnd"/>
            <w:r w:rsidRPr="009C6D42">
              <w:rPr>
                <w:lang w:val="en-US"/>
              </w:rPr>
              <w:t xml:space="preserve"> Bank</w:t>
            </w:r>
            <w:r>
              <w:rPr>
                <w:lang w:val="en-US"/>
              </w:rPr>
              <w:t xml:space="preserve"> </w:t>
            </w:r>
          </w:p>
          <w:p w14:paraId="5C6D205B" w14:textId="77777777" w:rsidR="007C5DC2" w:rsidRPr="00E201E2" w:rsidRDefault="007C5DC2" w:rsidP="007C5DC2">
            <w:pPr>
              <w:pStyle w:val="af8"/>
              <w:tabs>
                <w:tab w:val="left" w:pos="-1800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>Address: 2А</w:t>
            </w:r>
            <w:r w:rsidRPr="009C6D42">
              <w:rPr>
                <w:lang w:val="en-US"/>
              </w:rPr>
              <w:t xml:space="preserve">, </w:t>
            </w:r>
            <w:proofErr w:type="spellStart"/>
            <w:r w:rsidRPr="006F40C0">
              <w:rPr>
                <w:lang w:val="en-US"/>
              </w:rPr>
              <w:t>Ras</w:t>
            </w:r>
            <w:r>
              <w:rPr>
                <w:lang w:val="en-US"/>
              </w:rPr>
              <w:t>trelli</w:t>
            </w:r>
            <w:proofErr w:type="spellEnd"/>
            <w:r w:rsidRPr="009C6D42">
              <w:rPr>
                <w:lang w:val="en-US"/>
              </w:rPr>
              <w:t xml:space="preserve"> </w:t>
            </w:r>
            <w:proofErr w:type="spellStart"/>
            <w:r w:rsidRPr="009C6D42">
              <w:rPr>
                <w:lang w:val="en-US"/>
              </w:rPr>
              <w:t>s</w:t>
            </w:r>
            <w:r>
              <w:rPr>
                <w:lang w:val="en-US"/>
              </w:rPr>
              <w:t>qr</w:t>
            </w:r>
            <w:proofErr w:type="spellEnd"/>
            <w:r w:rsidRPr="009C6D42">
              <w:rPr>
                <w:lang w:val="en-US"/>
              </w:rPr>
              <w:t>.,</w:t>
            </w:r>
            <w:proofErr w:type="gramStart"/>
            <w:r w:rsidRPr="009C6D42">
              <w:rPr>
                <w:lang w:val="en-US"/>
              </w:rPr>
              <w:t xml:space="preserve">  </w:t>
            </w:r>
            <w:proofErr w:type="spellStart"/>
            <w:r>
              <w:rPr>
                <w:lang w:val="en-US"/>
              </w:rPr>
              <w:t>St.Petersburg</w:t>
            </w:r>
            <w:proofErr w:type="spellEnd"/>
            <w:proofErr w:type="gramEnd"/>
            <w:r w:rsidRPr="009C6D42">
              <w:rPr>
                <w:lang w:val="en-US"/>
              </w:rPr>
              <w:t>, Russia</w:t>
            </w:r>
            <w:r>
              <w:rPr>
                <w:lang w:val="en-US"/>
              </w:rPr>
              <w:t>.</w:t>
            </w:r>
          </w:p>
          <w:p w14:paraId="5FC7C061" w14:textId="5FAACCB1" w:rsidR="007C5DC2" w:rsidRPr="0099699A" w:rsidRDefault="007C5DC2" w:rsidP="007C5DC2">
            <w:pPr>
              <w:rPr>
                <w:bCs/>
                <w:iCs/>
              </w:rPr>
            </w:pPr>
          </w:p>
        </w:tc>
      </w:tr>
      <w:tr w:rsidR="007C5DC2" w:rsidRPr="0099699A" w14:paraId="2F3CFFB5" w14:textId="77777777" w:rsidTr="00C71122">
        <w:trPr>
          <w:divId w:val="836649942"/>
        </w:trPr>
        <w:tc>
          <w:tcPr>
            <w:tcW w:w="6771" w:type="dxa"/>
          </w:tcPr>
          <w:p w14:paraId="0064A2E7" w14:textId="77777777" w:rsidR="007C5DC2" w:rsidRPr="00C71122" w:rsidRDefault="007C5DC2" w:rsidP="007C5DC2">
            <w:pPr>
              <w:jc w:val="center"/>
              <w:rPr>
                <w:lang w:val="ru-RU"/>
              </w:rPr>
            </w:pPr>
            <w:r w:rsidRPr="00C71122">
              <w:rPr>
                <w:lang w:val="ru-RU"/>
              </w:rPr>
              <w:t>Генеральный директор</w:t>
            </w:r>
          </w:p>
          <w:p w14:paraId="2FCA2E3E" w14:textId="77777777" w:rsidR="007C5DC2" w:rsidRPr="00C71122" w:rsidRDefault="007C5DC2" w:rsidP="007C5DC2">
            <w:pPr>
              <w:jc w:val="center"/>
              <w:rPr>
                <w:lang w:val="ru-RU"/>
              </w:rPr>
            </w:pPr>
          </w:p>
          <w:p w14:paraId="7A5CCE72" w14:textId="77777777" w:rsidR="007C5DC2" w:rsidRPr="00C71122" w:rsidRDefault="007C5DC2" w:rsidP="007C5DC2">
            <w:pPr>
              <w:jc w:val="center"/>
              <w:rPr>
                <w:bCs/>
                <w:iCs/>
                <w:lang w:val="ru-RU"/>
              </w:rPr>
            </w:pPr>
            <w:r w:rsidRPr="00C71122">
              <w:rPr>
                <w:bCs/>
                <w:iCs/>
                <w:lang w:val="ru-RU"/>
              </w:rPr>
              <w:t>_____________________________</w:t>
            </w:r>
          </w:p>
          <w:p w14:paraId="5568F668" w14:textId="77777777" w:rsidR="007C5DC2" w:rsidRPr="00C71122" w:rsidRDefault="007C5DC2" w:rsidP="007C5DC2">
            <w:pPr>
              <w:jc w:val="center"/>
              <w:rPr>
                <w:lang w:val="ru-RU"/>
              </w:rPr>
            </w:pPr>
          </w:p>
          <w:p w14:paraId="7AD9A268" w14:textId="04D2F9D2" w:rsidR="007C5DC2" w:rsidRPr="00C71122" w:rsidRDefault="007C5DC2" w:rsidP="007C5DC2">
            <w:pPr>
              <w:jc w:val="center"/>
              <w:rPr>
                <w:b/>
                <w:lang w:val="ru-RU"/>
              </w:rPr>
            </w:pPr>
            <w:r w:rsidRPr="00C71122">
              <w:rPr>
                <w:bCs/>
                <w:lang w:val="ru-RU"/>
              </w:rPr>
              <w:t>Долгоаршинных Марат Гайнуллович</w:t>
            </w:r>
          </w:p>
        </w:tc>
        <w:tc>
          <w:tcPr>
            <w:tcW w:w="7229" w:type="dxa"/>
          </w:tcPr>
          <w:p w14:paraId="617F1F38" w14:textId="77777777" w:rsidR="007C5DC2" w:rsidRPr="008E0AB0" w:rsidRDefault="007C5DC2" w:rsidP="007C5DC2">
            <w:pPr>
              <w:jc w:val="center"/>
            </w:pPr>
            <w:r w:rsidRPr="00547FF1">
              <w:t>Director General</w:t>
            </w:r>
          </w:p>
          <w:p w14:paraId="64DD9137" w14:textId="77777777" w:rsidR="007C5DC2" w:rsidRPr="00F15F23" w:rsidRDefault="007C5DC2" w:rsidP="007C5DC2">
            <w:pPr>
              <w:jc w:val="center"/>
            </w:pPr>
          </w:p>
          <w:p w14:paraId="2318DE13" w14:textId="77777777" w:rsidR="007C5DC2" w:rsidRPr="00F15F23" w:rsidRDefault="007C5DC2" w:rsidP="007C5DC2">
            <w:pPr>
              <w:jc w:val="center"/>
              <w:rPr>
                <w:bCs/>
                <w:iCs/>
              </w:rPr>
            </w:pPr>
            <w:r w:rsidRPr="00F15F23">
              <w:rPr>
                <w:bCs/>
                <w:iCs/>
              </w:rPr>
              <w:t>_____________________________</w:t>
            </w:r>
          </w:p>
          <w:p w14:paraId="0C0C3262" w14:textId="77777777" w:rsidR="007C5DC2" w:rsidRPr="00F15F23" w:rsidRDefault="007C5DC2" w:rsidP="007C5DC2">
            <w:pPr>
              <w:jc w:val="center"/>
            </w:pPr>
          </w:p>
          <w:p w14:paraId="7289E5AD" w14:textId="26FBE68D" w:rsidR="007C5DC2" w:rsidRPr="0099699A" w:rsidRDefault="007C5DC2" w:rsidP="007C5DC2">
            <w:pPr>
              <w:jc w:val="center"/>
              <w:rPr>
                <w:bCs/>
                <w:iCs/>
              </w:rPr>
            </w:pPr>
            <w:proofErr w:type="spellStart"/>
            <w:r w:rsidRPr="00652BFD">
              <w:t>Dolgoarshinnykh</w:t>
            </w:r>
            <w:proofErr w:type="spellEnd"/>
            <w:r w:rsidRPr="00652BFD">
              <w:t xml:space="preserve"> Marat </w:t>
            </w:r>
            <w:proofErr w:type="spellStart"/>
            <w:r w:rsidRPr="00652BFD">
              <w:t>Gainullovitch</w:t>
            </w:r>
            <w:proofErr w:type="spellEnd"/>
          </w:p>
        </w:tc>
      </w:tr>
    </w:tbl>
    <w:p w14:paraId="522A7EEC" w14:textId="77777777" w:rsidR="00A20C7C" w:rsidRPr="00C71122" w:rsidRDefault="00A20C7C" w:rsidP="00B70609">
      <w:pPr>
        <w:divId w:val="836649942"/>
        <w:rPr>
          <w:rFonts w:eastAsia="Times New Roman"/>
        </w:rPr>
      </w:pPr>
    </w:p>
    <w:sectPr w:rsidR="00A20C7C" w:rsidRPr="00C71122" w:rsidSect="00B70609">
      <w:headerReference w:type="default" r:id="rId6"/>
      <w:footerReference w:type="default" r:id="rId7"/>
      <w:pgSz w:w="15840" w:h="12240" w:orient="landscape"/>
      <w:pgMar w:top="5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30FB8" w14:textId="77777777" w:rsidR="003A78C1" w:rsidRDefault="003A78C1" w:rsidP="00A90BCB">
      <w:r>
        <w:separator/>
      </w:r>
    </w:p>
  </w:endnote>
  <w:endnote w:type="continuationSeparator" w:id="0">
    <w:p w14:paraId="5226991C" w14:textId="77777777" w:rsidR="003A78C1" w:rsidRDefault="003A78C1" w:rsidP="00A9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3D60D" w14:textId="77777777" w:rsidR="002533CA" w:rsidRDefault="002533CA">
    <w:pPr>
      <w:pStyle w:val="af3"/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4808"/>
      <w:gridCol w:w="5277"/>
    </w:tblGrid>
    <w:tr w:rsidR="002533CA" w:rsidRPr="00CE7812" w14:paraId="73D717B8" w14:textId="77777777" w:rsidTr="00A864F6">
      <w:trPr>
        <w:trHeight w:val="470"/>
        <w:jc w:val="center"/>
      </w:trPr>
      <w:tc>
        <w:tcPr>
          <w:tcW w:w="4808" w:type="dxa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6C77A0BD" w14:textId="77777777" w:rsidR="002533CA" w:rsidRPr="002A587D" w:rsidRDefault="002533CA" w:rsidP="002533CA">
          <w:pPr>
            <w:jc w:val="center"/>
            <w:rPr>
              <w:b/>
            </w:rPr>
          </w:pPr>
          <w:r w:rsidRPr="002A587D">
            <w:rPr>
              <w:b/>
            </w:rPr>
            <w:t>WARGAMING:</w:t>
          </w:r>
        </w:p>
      </w:tc>
      <w:tc>
        <w:tcPr>
          <w:tcW w:w="4654" w:type="dxa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445E61B4" w14:textId="32BADB0B" w:rsidR="002533CA" w:rsidRPr="002A587D" w:rsidRDefault="006A4669" w:rsidP="002533CA">
          <w:pPr>
            <w:jc w:val="center"/>
            <w:rPr>
              <w:b/>
            </w:rPr>
          </w:pPr>
          <w:r w:rsidRPr="006A4669">
            <w:rPr>
              <w:b/>
              <w:lang w:val="ru-RU"/>
            </w:rPr>
            <w:t>БАШИНФОРМСВЯЗЬ</w:t>
          </w:r>
          <w:r w:rsidRPr="006A4669">
            <w:rPr>
              <w:b/>
            </w:rPr>
            <w:t>/BASHINFORMSVYAZ</w:t>
          </w:r>
        </w:p>
      </w:tc>
    </w:tr>
    <w:tr w:rsidR="002533CA" w14:paraId="0C84B8C6" w14:textId="77777777" w:rsidTr="00A864F6">
      <w:trPr>
        <w:trHeight w:val="77"/>
        <w:jc w:val="center"/>
      </w:trPr>
      <w:tc>
        <w:tcPr>
          <w:tcW w:w="4808" w:type="dxa"/>
          <w:tcBorders>
            <w:top w:val="single" w:sz="4" w:space="0" w:color="auto"/>
            <w:right w:val="single" w:sz="4" w:space="0" w:color="auto"/>
          </w:tcBorders>
        </w:tcPr>
        <w:p w14:paraId="1DB5EC2D" w14:textId="77777777" w:rsidR="002533CA" w:rsidRPr="002A587D" w:rsidRDefault="002533CA" w:rsidP="002533CA">
          <w:pPr>
            <w:jc w:val="right"/>
            <w:rPr>
              <w:b/>
              <w:bCs/>
            </w:rPr>
          </w:pPr>
        </w:p>
      </w:tc>
      <w:tc>
        <w:tcPr>
          <w:tcW w:w="4654" w:type="dxa"/>
          <w:tcBorders>
            <w:top w:val="single" w:sz="4" w:space="0" w:color="auto"/>
            <w:left w:val="single" w:sz="4" w:space="0" w:color="auto"/>
          </w:tcBorders>
        </w:tcPr>
        <w:p w14:paraId="6732376A" w14:textId="77777777" w:rsidR="002533CA" w:rsidRPr="002A587D" w:rsidRDefault="002533CA" w:rsidP="002533CA">
          <w:pPr>
            <w:jc w:val="right"/>
          </w:pPr>
        </w:p>
      </w:tc>
    </w:tr>
  </w:tbl>
  <w:p w14:paraId="5AB1408C" w14:textId="77777777" w:rsidR="002533CA" w:rsidRDefault="002533CA" w:rsidP="002533C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7AE79" w14:textId="77777777" w:rsidR="003A78C1" w:rsidRDefault="003A78C1" w:rsidP="00A90BCB">
      <w:r>
        <w:separator/>
      </w:r>
    </w:p>
  </w:footnote>
  <w:footnote w:type="continuationSeparator" w:id="0">
    <w:p w14:paraId="4EE733E2" w14:textId="77777777" w:rsidR="003A78C1" w:rsidRDefault="003A78C1" w:rsidP="00A9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2E621" w14:textId="77777777" w:rsidR="00A90BCB" w:rsidRDefault="00A90BCB">
    <w:pPr>
      <w:pStyle w:val="af1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2C02C95F" wp14:editId="01F405A0">
          <wp:simplePos x="0" y="0"/>
          <wp:positionH relativeFrom="column">
            <wp:posOffset>57150</wp:posOffset>
          </wp:positionH>
          <wp:positionV relativeFrom="paragraph">
            <wp:posOffset>-188226</wp:posOffset>
          </wp:positionV>
          <wp:extent cx="2465070" cy="549275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034991" w14:textId="77777777" w:rsidR="00A90BCB" w:rsidRDefault="00A90BCB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8B"/>
    <w:rsid w:val="00056AB8"/>
    <w:rsid w:val="000948F7"/>
    <w:rsid w:val="000B274E"/>
    <w:rsid w:val="001049C3"/>
    <w:rsid w:val="0011534B"/>
    <w:rsid w:val="00117A77"/>
    <w:rsid w:val="00123197"/>
    <w:rsid w:val="001E7450"/>
    <w:rsid w:val="00202A27"/>
    <w:rsid w:val="0021628B"/>
    <w:rsid w:val="00225FDD"/>
    <w:rsid w:val="00227417"/>
    <w:rsid w:val="0024569B"/>
    <w:rsid w:val="00251427"/>
    <w:rsid w:val="002533CA"/>
    <w:rsid w:val="00267196"/>
    <w:rsid w:val="00296605"/>
    <w:rsid w:val="002A06D4"/>
    <w:rsid w:val="002A25B8"/>
    <w:rsid w:val="002A587D"/>
    <w:rsid w:val="002C455C"/>
    <w:rsid w:val="002F7903"/>
    <w:rsid w:val="003025F2"/>
    <w:rsid w:val="00311CB1"/>
    <w:rsid w:val="00322AC2"/>
    <w:rsid w:val="00360B0D"/>
    <w:rsid w:val="00371DB3"/>
    <w:rsid w:val="003911FF"/>
    <w:rsid w:val="00391B4D"/>
    <w:rsid w:val="003A78C1"/>
    <w:rsid w:val="003B5358"/>
    <w:rsid w:val="003E76AD"/>
    <w:rsid w:val="003F3728"/>
    <w:rsid w:val="004034B7"/>
    <w:rsid w:val="00406622"/>
    <w:rsid w:val="0041651E"/>
    <w:rsid w:val="00452595"/>
    <w:rsid w:val="004A4BED"/>
    <w:rsid w:val="004B1CF3"/>
    <w:rsid w:val="004C0203"/>
    <w:rsid w:val="004F637C"/>
    <w:rsid w:val="00511905"/>
    <w:rsid w:val="0054367A"/>
    <w:rsid w:val="005564BF"/>
    <w:rsid w:val="00565C88"/>
    <w:rsid w:val="00575401"/>
    <w:rsid w:val="00583FA9"/>
    <w:rsid w:val="00585379"/>
    <w:rsid w:val="005C30B8"/>
    <w:rsid w:val="005D7C53"/>
    <w:rsid w:val="005F08A4"/>
    <w:rsid w:val="005F432D"/>
    <w:rsid w:val="005F797E"/>
    <w:rsid w:val="006639D5"/>
    <w:rsid w:val="006739AD"/>
    <w:rsid w:val="006A4669"/>
    <w:rsid w:val="006E1BA7"/>
    <w:rsid w:val="00741DBE"/>
    <w:rsid w:val="007657ED"/>
    <w:rsid w:val="00772579"/>
    <w:rsid w:val="007C5DC2"/>
    <w:rsid w:val="008231C3"/>
    <w:rsid w:val="00863A38"/>
    <w:rsid w:val="00871649"/>
    <w:rsid w:val="008B1F2F"/>
    <w:rsid w:val="008D5AA9"/>
    <w:rsid w:val="008F3084"/>
    <w:rsid w:val="008F5849"/>
    <w:rsid w:val="0098331D"/>
    <w:rsid w:val="00991A65"/>
    <w:rsid w:val="00994F14"/>
    <w:rsid w:val="009A01B8"/>
    <w:rsid w:val="009A07B7"/>
    <w:rsid w:val="009E084F"/>
    <w:rsid w:val="009E58D6"/>
    <w:rsid w:val="009F5EB5"/>
    <w:rsid w:val="00A20C7C"/>
    <w:rsid w:val="00A32ED2"/>
    <w:rsid w:val="00A45A94"/>
    <w:rsid w:val="00A5069D"/>
    <w:rsid w:val="00A5547E"/>
    <w:rsid w:val="00A90BCB"/>
    <w:rsid w:val="00AA5A83"/>
    <w:rsid w:val="00AD56AB"/>
    <w:rsid w:val="00B4170A"/>
    <w:rsid w:val="00B64F94"/>
    <w:rsid w:val="00B70609"/>
    <w:rsid w:val="00B831ED"/>
    <w:rsid w:val="00BA452B"/>
    <w:rsid w:val="00BC4159"/>
    <w:rsid w:val="00BE232B"/>
    <w:rsid w:val="00BF7CB3"/>
    <w:rsid w:val="00C11702"/>
    <w:rsid w:val="00C22E43"/>
    <w:rsid w:val="00C404BD"/>
    <w:rsid w:val="00C4251C"/>
    <w:rsid w:val="00C6340B"/>
    <w:rsid w:val="00C71122"/>
    <w:rsid w:val="00CA4313"/>
    <w:rsid w:val="00CA4445"/>
    <w:rsid w:val="00CC7249"/>
    <w:rsid w:val="00D23158"/>
    <w:rsid w:val="00D24ABD"/>
    <w:rsid w:val="00D52790"/>
    <w:rsid w:val="00D84DE1"/>
    <w:rsid w:val="00DB41C4"/>
    <w:rsid w:val="00DB68E2"/>
    <w:rsid w:val="00E16F6D"/>
    <w:rsid w:val="00E26201"/>
    <w:rsid w:val="00E841D3"/>
    <w:rsid w:val="00EE5B3C"/>
    <w:rsid w:val="00EE738D"/>
    <w:rsid w:val="00F34ED7"/>
    <w:rsid w:val="00FD6BDA"/>
    <w:rsid w:val="00FE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1843F"/>
  <w15:docId w15:val="{E1A61D78-EFD1-4656-873E-56181B7E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a"/>
    <w:pPr>
      <w:spacing w:before="100" w:beforeAutospacing="1" w:after="100" w:afterAutospacing="1"/>
    </w:pPr>
  </w:style>
  <w:style w:type="paragraph" w:customStyle="1" w:styleId="comment">
    <w:name w:val="comment"/>
    <w:basedOn w:val="a"/>
    <w:pPr>
      <w:spacing w:before="100" w:beforeAutospacing="1" w:after="100" w:afterAutospacing="1"/>
    </w:pPr>
  </w:style>
  <w:style w:type="paragraph" w:customStyle="1" w:styleId="comment-body">
    <w:name w:val="comment-body"/>
    <w:basedOn w:val="a"/>
    <w:pPr>
      <w:spacing w:before="100" w:beforeAutospacing="1" w:after="100" w:afterAutospacing="1"/>
    </w:pPr>
  </w:style>
  <w:style w:type="paragraph" w:customStyle="1" w:styleId="comment-content">
    <w:name w:val="comment-content"/>
    <w:basedOn w:val="a"/>
    <w:pPr>
      <w:spacing w:before="100" w:beforeAutospacing="1" w:after="100" w:afterAutospacing="1"/>
    </w:pPr>
  </w:style>
  <w:style w:type="paragraph" w:customStyle="1" w:styleId="pagesection">
    <w:name w:val="pagesection"/>
    <w:basedOn w:val="a"/>
    <w:pPr>
      <w:spacing w:before="100" w:beforeAutospacing="1" w:after="100" w:afterAutospacing="1"/>
    </w:pPr>
  </w:style>
  <w:style w:type="paragraph" w:customStyle="1" w:styleId="aui-header-inner">
    <w:name w:val="aui-header-inner"/>
    <w:basedOn w:val="a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a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a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a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a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a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a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a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a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a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a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a"/>
    <w:pPr>
      <w:spacing w:before="100" w:beforeAutospacing="1" w:after="100" w:afterAutospacing="1"/>
    </w:pPr>
  </w:style>
  <w:style w:type="paragraph" w:customStyle="1" w:styleId="comment-body1">
    <w:name w:val="comment-body1"/>
    <w:basedOn w:val="a"/>
    <w:pPr>
      <w:spacing w:before="100" w:beforeAutospacing="1" w:after="100" w:afterAutospacing="1"/>
    </w:pPr>
  </w:style>
  <w:style w:type="paragraph" w:customStyle="1" w:styleId="comment-content1">
    <w:name w:val="comment-content1"/>
    <w:basedOn w:val="a"/>
    <w:pPr>
      <w:spacing w:before="100" w:beforeAutospacing="1" w:after="100" w:afterAutospacing="1"/>
    </w:pPr>
  </w:style>
  <w:style w:type="paragraph" w:customStyle="1" w:styleId="pagesection1">
    <w:name w:val="pagesection1"/>
    <w:basedOn w:val="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Title"/>
    <w:basedOn w:val="a"/>
    <w:next w:val="a"/>
    <w:link w:val="a9"/>
    <w:qFormat/>
    <w:rsid w:val="00A20C7C"/>
    <w:pPr>
      <w:spacing w:before="240" w:after="60"/>
      <w:jc w:val="center"/>
      <w:outlineLvl w:val="0"/>
    </w:pPr>
    <w:rPr>
      <w:rFonts w:ascii="Cambria" w:eastAsia="Times New Roman" w:hAnsi="Cambria"/>
      <w:bCs/>
      <w:caps/>
      <w:kern w:val="28"/>
      <w:sz w:val="28"/>
      <w:szCs w:val="32"/>
      <w:lang w:val="ru-RU" w:eastAsia="ru-RU"/>
    </w:rPr>
  </w:style>
  <w:style w:type="character" w:customStyle="1" w:styleId="a9">
    <w:name w:val="Название Знак"/>
    <w:basedOn w:val="a0"/>
    <w:link w:val="a8"/>
    <w:rsid w:val="00A20C7C"/>
    <w:rPr>
      <w:rFonts w:ascii="Cambria" w:hAnsi="Cambria"/>
      <w:bCs/>
      <w:caps/>
      <w:kern w:val="28"/>
      <w:sz w:val="28"/>
      <w:szCs w:val="32"/>
      <w:lang w:val="ru-RU" w:eastAsia="ru-RU"/>
    </w:rPr>
  </w:style>
  <w:style w:type="character" w:styleId="aa">
    <w:name w:val="annotation reference"/>
    <w:basedOn w:val="a0"/>
    <w:uiPriority w:val="99"/>
    <w:unhideWhenUsed/>
    <w:rsid w:val="009A07B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9A07B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9A07B7"/>
    <w:rPr>
      <w:rFonts w:eastAsiaTheme="minorEastAsi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07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A07B7"/>
    <w:rPr>
      <w:rFonts w:eastAsiaTheme="minorEastAsia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A07B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7B7"/>
    <w:rPr>
      <w:rFonts w:ascii="Tahoma" w:eastAsiaTheme="minorEastAsi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A90BCB"/>
    <w:pPr>
      <w:tabs>
        <w:tab w:val="center" w:pos="4844"/>
        <w:tab w:val="right" w:pos="968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0BCB"/>
    <w:rPr>
      <w:rFonts w:eastAsiaTheme="minorEastAsi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A90BCB"/>
    <w:pPr>
      <w:tabs>
        <w:tab w:val="center" w:pos="4844"/>
        <w:tab w:val="right" w:pos="968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90BCB"/>
    <w:rPr>
      <w:rFonts w:eastAsiaTheme="minorEastAsia"/>
      <w:sz w:val="24"/>
      <w:szCs w:val="24"/>
    </w:rPr>
  </w:style>
  <w:style w:type="paragraph" w:styleId="af5">
    <w:name w:val="Revision"/>
    <w:hidden/>
    <w:uiPriority w:val="99"/>
    <w:semiHidden/>
    <w:rsid w:val="009F5EB5"/>
    <w:rPr>
      <w:rFonts w:eastAsiaTheme="minorEastAsia"/>
      <w:sz w:val="24"/>
      <w:szCs w:val="24"/>
    </w:rPr>
  </w:style>
  <w:style w:type="table" w:styleId="af6">
    <w:name w:val="Table Grid"/>
    <w:basedOn w:val="a1"/>
    <w:uiPriority w:val="59"/>
    <w:rsid w:val="008D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2533C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7">
    <w:name w:val="List Paragraph"/>
    <w:basedOn w:val="a"/>
    <w:uiPriority w:val="34"/>
    <w:qFormat/>
    <w:rsid w:val="002533CA"/>
    <w:pPr>
      <w:ind w:left="720"/>
      <w:contextualSpacing/>
    </w:pPr>
  </w:style>
  <w:style w:type="paragraph" w:styleId="af8">
    <w:name w:val="Body Text Indent"/>
    <w:basedOn w:val="a"/>
    <w:link w:val="af9"/>
    <w:rsid w:val="002533CA"/>
    <w:pPr>
      <w:ind w:firstLine="567"/>
      <w:jc w:val="both"/>
    </w:pPr>
    <w:rPr>
      <w:rFonts w:eastAsia="Times New Roman"/>
      <w:lang w:val="x-none" w:eastAsia="ru-RU"/>
    </w:rPr>
  </w:style>
  <w:style w:type="character" w:customStyle="1" w:styleId="af9">
    <w:name w:val="Основной текст с отступом Знак"/>
    <w:basedOn w:val="a0"/>
    <w:link w:val="af8"/>
    <w:rsid w:val="002533CA"/>
    <w:rPr>
      <w:sz w:val="24"/>
      <w:szCs w:val="24"/>
      <w:lang w:val="x-none" w:eastAsia="ru-RU"/>
    </w:rPr>
  </w:style>
  <w:style w:type="table" w:styleId="afa">
    <w:name w:val="Grid Table Light"/>
    <w:basedOn w:val="a1"/>
    <w:uiPriority w:val="40"/>
    <w:rsid w:val="00D231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5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6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5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Reports for Rostelecom</vt:lpstr>
      <vt:lpstr>Reports for Rostelecom</vt:lpstr>
    </vt:vector>
  </TitlesOfParts>
  <Company>Sermar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Reports for Rostelecom</dc:title>
  <dc:creator>Igor Olehnovich</dc:creator>
  <cp:lastModifiedBy>Габидуллин Фанис Гажипович</cp:lastModifiedBy>
  <cp:revision>3</cp:revision>
  <dcterms:created xsi:type="dcterms:W3CDTF">2016-10-24T08:22:00Z</dcterms:created>
  <dcterms:modified xsi:type="dcterms:W3CDTF">2016-10-24T09:03:00Z</dcterms:modified>
</cp:coreProperties>
</file>